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E7D5F" w14:textId="77777777" w:rsidR="004178EB" w:rsidRPr="004178EB" w:rsidRDefault="004178EB" w:rsidP="004178EB">
      <w:pPr>
        <w:pStyle w:val="Nadpis1"/>
        <w:jc w:val="center"/>
        <w:rPr>
          <w:color w:val="3A7C22" w:themeColor="accent6" w:themeShade="BF"/>
        </w:rPr>
      </w:pPr>
      <w:r w:rsidRPr="004178EB">
        <w:rPr>
          <w:color w:val="3A7C22" w:themeColor="accent6" w:themeShade="BF"/>
        </w:rPr>
        <w:t>Nařízení Evropského parlamentu a Rady (EU) 2024/573 o fluorovaných skleníkových plynech</w:t>
      </w:r>
    </w:p>
    <w:p w14:paraId="7A8C5683" w14:textId="77777777" w:rsidR="004178EB" w:rsidRDefault="004178EB" w:rsidP="004178EB">
      <w:pPr>
        <w:pStyle w:val="Nadpis2"/>
        <w:jc w:val="center"/>
        <w:rPr>
          <w:color w:val="3A7C22" w:themeColor="accent6" w:themeShade="BF"/>
        </w:rPr>
      </w:pPr>
      <w:r w:rsidRPr="004178EB">
        <w:rPr>
          <w:color w:val="3A7C22" w:themeColor="accent6" w:themeShade="BF"/>
        </w:rPr>
        <w:t>Výklad některých ustanovení</w:t>
      </w:r>
    </w:p>
    <w:p w14:paraId="263379BB" w14:textId="77777777" w:rsidR="00CB4F20" w:rsidRDefault="00CB4F20" w:rsidP="00CB4F20">
      <w:pPr>
        <w:jc w:val="center"/>
      </w:pPr>
    </w:p>
    <w:p w14:paraId="55193CE0" w14:textId="515432F3" w:rsidR="00CB4F20" w:rsidRPr="00CB4F20" w:rsidRDefault="00CB4F20" w:rsidP="00CB4F20">
      <w:pPr>
        <w:jc w:val="center"/>
      </w:pPr>
      <w:hyperlink r:id="rId8" w:history="1">
        <w:r w:rsidRPr="00CB4F20">
          <w:rPr>
            <w:rStyle w:val="Hypertextovodkaz"/>
          </w:rPr>
          <w:t>Nařízení (EU) 2024/573</w:t>
        </w:r>
      </w:hyperlink>
    </w:p>
    <w:p w14:paraId="4E5B6848" w14:textId="77777777" w:rsidR="00131B3F" w:rsidRPr="004178EB" w:rsidRDefault="00131B3F" w:rsidP="004178EB"/>
    <w:p w14:paraId="1E7AF315" w14:textId="29A4906E" w:rsidR="004178EB" w:rsidRPr="004C0C55" w:rsidRDefault="004178EB" w:rsidP="004C0C55">
      <w:pPr>
        <w:pStyle w:val="p1"/>
        <w:numPr>
          <w:ilvl w:val="0"/>
          <w:numId w:val="1"/>
        </w:numPr>
        <w:spacing w:after="120"/>
        <w:ind w:left="714" w:hanging="357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4C0C55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Provádění kontrol těsnosti u zařízení s obsahem směsi HFC a HFO </w:t>
      </w:r>
    </w:p>
    <w:p w14:paraId="23B48C35" w14:textId="70D7B901" w:rsidR="005136CF" w:rsidRPr="004C0C55" w:rsidRDefault="005136CF" w:rsidP="005136CF">
      <w:pPr>
        <w:pStyle w:val="p1"/>
        <w:spacing w:after="240"/>
        <w:rPr>
          <w:rFonts w:ascii="Aptos" w:hAnsi="Aptos"/>
          <w:color w:val="3A7C22" w:themeColor="accent6" w:themeShade="BF"/>
          <w:sz w:val="22"/>
          <w:szCs w:val="22"/>
        </w:rPr>
      </w:pPr>
      <w:r w:rsidRPr="004C0C55">
        <w:rPr>
          <w:rFonts w:ascii="Aptos" w:hAnsi="Aptos"/>
          <w:color w:val="3A7C22" w:themeColor="accent6" w:themeShade="BF"/>
          <w:sz w:val="22"/>
          <w:szCs w:val="22"/>
        </w:rPr>
        <w:t xml:space="preserve">Čl. </w:t>
      </w:r>
      <w:r>
        <w:rPr>
          <w:rFonts w:ascii="Aptos" w:hAnsi="Aptos"/>
          <w:color w:val="3A7C22" w:themeColor="accent6" w:themeShade="BF"/>
          <w:sz w:val="22"/>
          <w:szCs w:val="22"/>
        </w:rPr>
        <w:t>5</w:t>
      </w:r>
      <w:r w:rsidRPr="004C0C55">
        <w:rPr>
          <w:rFonts w:ascii="Aptos" w:hAnsi="Aptos"/>
          <w:color w:val="3A7C22" w:themeColor="accent6" w:themeShade="BF"/>
          <w:sz w:val="22"/>
          <w:szCs w:val="22"/>
        </w:rPr>
        <w:t xml:space="preserve"> odst. </w:t>
      </w:r>
      <w:r>
        <w:rPr>
          <w:rFonts w:ascii="Aptos" w:hAnsi="Aptos"/>
          <w:color w:val="3A7C22" w:themeColor="accent6" w:themeShade="BF"/>
          <w:sz w:val="22"/>
          <w:szCs w:val="22"/>
        </w:rPr>
        <w:t>1</w:t>
      </w:r>
      <w:r w:rsidRPr="004C0C55">
        <w:rPr>
          <w:rFonts w:ascii="Aptos" w:hAnsi="Aptos"/>
          <w:color w:val="3A7C22" w:themeColor="accent6" w:themeShade="BF"/>
          <w:sz w:val="22"/>
          <w:szCs w:val="22"/>
        </w:rPr>
        <w:t xml:space="preserve"> </w:t>
      </w:r>
    </w:p>
    <w:p w14:paraId="3030B887" w14:textId="0ADA249D" w:rsidR="001D5AEA" w:rsidRPr="001D5AEA" w:rsidRDefault="001D5AEA" w:rsidP="001D5AEA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</w:rPr>
        <w:t>Provozovatelé a výrobci zařízení, které obsahuje nejméně 5 tun ekvivalentu CO</w:t>
      </w: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  <w:vertAlign w:val="subscript"/>
        </w:rPr>
        <w:t>2</w:t>
      </w: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fluorovaných skleníkových plynů uvedených v příloze I </w:t>
      </w:r>
      <w:r w:rsidRPr="00BC0EEA">
        <w:rPr>
          <w:rFonts w:ascii="Aptos" w:hAnsi="Aptos"/>
          <w:b/>
          <w:bCs/>
          <w:i/>
          <w:iCs/>
          <w:color w:val="3A7C22" w:themeColor="accent6" w:themeShade="BF"/>
          <w:sz w:val="22"/>
          <w:szCs w:val="22"/>
          <w:u w:val="single"/>
        </w:rPr>
        <w:t>nebo</w:t>
      </w: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nejméně 1 kilogram fluorovaných skleníkových plynů uvedených v oddíle 1 přílohy II, které nejsou obsaženy v pěnách, zajistí, aby byla provedena kontrola těsnosti tohoto zařízení.</w:t>
      </w:r>
    </w:p>
    <w:p w14:paraId="7312E4FD" w14:textId="45107127" w:rsidR="001D5AEA" w:rsidRPr="001D5AEA" w:rsidRDefault="001D5AEA" w:rsidP="001D5AEA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</w:rPr>
        <w:t>Těsnost hermeticky uzavřeného zařízení se nekontroluje, pokud je označeno jako hermeticky uzavřené zařízení a splňuje jednu z těchto podmínek:</w:t>
      </w:r>
    </w:p>
    <w:p w14:paraId="36E7BBA4" w14:textId="4D0C9607" w:rsidR="001D5AEA" w:rsidRPr="001D5AEA" w:rsidRDefault="001D5AEA" w:rsidP="001D5AEA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</w:rPr>
        <w:t>a) obsahuje méně než 10 tun ekvivalentu CO</w:t>
      </w: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  <w:vertAlign w:val="subscript"/>
        </w:rPr>
        <w:t>2</w:t>
      </w: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fluorovaných skleníkových plynů uvedených v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 </w:t>
      </w: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</w:rPr>
        <w:t>příloze I nebo</w:t>
      </w:r>
    </w:p>
    <w:p w14:paraId="1B0012F3" w14:textId="7316549F" w:rsidR="001D5AEA" w:rsidRDefault="001D5AEA" w:rsidP="001D5AEA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</w:rPr>
        <w:t>b) obsahuje méně než 2 kilogramy fluorovaných skleníkových plynů uvedených v oddíle 1 přílohy II.</w:t>
      </w:r>
    </w:p>
    <w:p w14:paraId="1370B943" w14:textId="77777777" w:rsidR="005136CF" w:rsidRPr="001D5AEA" w:rsidRDefault="005136CF" w:rsidP="003935B0">
      <w:pPr>
        <w:spacing w:after="0" w:line="240" w:lineRule="auto"/>
        <w:jc w:val="center"/>
        <w:rPr>
          <w:rFonts w:ascii="Aptos" w:hAnsi="Aptos"/>
          <w:i/>
          <w:iCs/>
          <w:color w:val="3A7C22" w:themeColor="accent6" w:themeShade="BF"/>
        </w:rPr>
      </w:pPr>
    </w:p>
    <w:tbl>
      <w:tblPr>
        <w:tblStyle w:val="Barevntabulkaseznamu6zvraznn6"/>
        <w:tblW w:w="9033" w:type="dxa"/>
        <w:tblLook w:val="0420" w:firstRow="1" w:lastRow="0" w:firstColumn="0" w:lastColumn="0" w:noHBand="0" w:noVBand="1"/>
      </w:tblPr>
      <w:tblGrid>
        <w:gridCol w:w="3392"/>
        <w:gridCol w:w="1842"/>
        <w:gridCol w:w="1843"/>
        <w:gridCol w:w="1956"/>
      </w:tblGrid>
      <w:tr w:rsidR="005136CF" w:rsidRPr="005136CF" w14:paraId="1CB428B8" w14:textId="77777777" w:rsidTr="0051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tcW w:w="3392" w:type="dxa"/>
            <w:hideMark/>
          </w:tcPr>
          <w:p w14:paraId="54372625" w14:textId="77777777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F-plyny</w:t>
            </w:r>
          </w:p>
        </w:tc>
        <w:tc>
          <w:tcPr>
            <w:tcW w:w="1842" w:type="dxa"/>
            <w:hideMark/>
          </w:tcPr>
          <w:p w14:paraId="62BF3693" w14:textId="77777777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 xml:space="preserve">1 x 12/24* </w:t>
            </w:r>
          </w:p>
          <w:p w14:paraId="5C9D9D23" w14:textId="77777777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měsíců</w:t>
            </w:r>
          </w:p>
        </w:tc>
        <w:tc>
          <w:tcPr>
            <w:tcW w:w="1843" w:type="dxa"/>
            <w:hideMark/>
          </w:tcPr>
          <w:p w14:paraId="25A22B99" w14:textId="77777777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1x 6/12* měsíců</w:t>
            </w:r>
          </w:p>
        </w:tc>
        <w:tc>
          <w:tcPr>
            <w:tcW w:w="1956" w:type="dxa"/>
            <w:hideMark/>
          </w:tcPr>
          <w:p w14:paraId="596F44ED" w14:textId="77777777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1x 3/6*, ** měsíců</w:t>
            </w:r>
          </w:p>
        </w:tc>
      </w:tr>
      <w:tr w:rsidR="005136CF" w:rsidRPr="005136CF" w14:paraId="024FF7A4" w14:textId="77777777" w:rsidTr="0051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tcW w:w="3392" w:type="dxa"/>
            <w:hideMark/>
          </w:tcPr>
          <w:p w14:paraId="468ACE8B" w14:textId="77777777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Příloha I</w:t>
            </w:r>
          </w:p>
          <w:p w14:paraId="56229112" w14:textId="2364293C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(HFC látky, např. R134a, R32, R410a</w:t>
            </w:r>
            <w:r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 xml:space="preserve"> atd.</w:t>
            </w: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)</w:t>
            </w:r>
          </w:p>
        </w:tc>
        <w:tc>
          <w:tcPr>
            <w:tcW w:w="1842" w:type="dxa"/>
            <w:hideMark/>
          </w:tcPr>
          <w:p w14:paraId="072452EF" w14:textId="1EB49546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proofErr w:type="gramStart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5 - 50</w:t>
            </w:r>
            <w:proofErr w:type="gramEnd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 xml:space="preserve"> t </w:t>
            </w:r>
            <w:proofErr w:type="spellStart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ekv</w:t>
            </w:r>
            <w:proofErr w:type="spellEnd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. CO</w:t>
            </w:r>
            <w:r w:rsidRPr="005136CF">
              <w:rPr>
                <w:rFonts w:eastAsia="Times New Roman" w:cs="Arial"/>
                <w:color w:val="auto"/>
                <w:kern w:val="24"/>
                <w:position w:val="-5"/>
                <w:vertAlign w:val="subscript"/>
                <w:lang w:eastAsia="cs-CZ"/>
                <w14:ligatures w14:val="none"/>
              </w:rPr>
              <w:t>2</w:t>
            </w:r>
          </w:p>
        </w:tc>
        <w:tc>
          <w:tcPr>
            <w:tcW w:w="1843" w:type="dxa"/>
            <w:hideMark/>
          </w:tcPr>
          <w:p w14:paraId="178E43D0" w14:textId="10CF5B80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proofErr w:type="gramStart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50 - 500</w:t>
            </w:r>
            <w:proofErr w:type="gramEnd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 xml:space="preserve"> t </w:t>
            </w:r>
            <w:proofErr w:type="spellStart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ekv</w:t>
            </w:r>
            <w:proofErr w:type="spellEnd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. CO</w:t>
            </w:r>
            <w:r w:rsidRPr="005136CF">
              <w:rPr>
                <w:rFonts w:eastAsia="Times New Roman" w:cs="Arial"/>
                <w:color w:val="auto"/>
                <w:kern w:val="24"/>
                <w:position w:val="-5"/>
                <w:vertAlign w:val="subscript"/>
                <w:lang w:eastAsia="cs-CZ"/>
                <w14:ligatures w14:val="none"/>
              </w:rPr>
              <w:t>2</w:t>
            </w:r>
          </w:p>
        </w:tc>
        <w:tc>
          <w:tcPr>
            <w:tcW w:w="1956" w:type="dxa"/>
            <w:hideMark/>
          </w:tcPr>
          <w:p w14:paraId="47CC43C0" w14:textId="7DF5F265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sym w:font="Symbol" w:char="F03E"/>
            </w: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 xml:space="preserve"> 500 t </w:t>
            </w:r>
            <w:proofErr w:type="spellStart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ekv</w:t>
            </w:r>
            <w:proofErr w:type="spellEnd"/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. CO</w:t>
            </w:r>
            <w:r w:rsidRPr="005136CF">
              <w:rPr>
                <w:rFonts w:eastAsia="Times New Roman" w:cs="Arial"/>
                <w:color w:val="auto"/>
                <w:kern w:val="24"/>
                <w:position w:val="-5"/>
                <w:vertAlign w:val="subscript"/>
                <w:lang w:eastAsia="cs-CZ"/>
                <w14:ligatures w14:val="none"/>
              </w:rPr>
              <w:t>2</w:t>
            </w:r>
          </w:p>
        </w:tc>
      </w:tr>
      <w:tr w:rsidR="005136CF" w:rsidRPr="005136CF" w14:paraId="7E167D66" w14:textId="77777777" w:rsidTr="005136CF">
        <w:trPr>
          <w:trHeight w:val="621"/>
        </w:trPr>
        <w:tc>
          <w:tcPr>
            <w:tcW w:w="3392" w:type="dxa"/>
            <w:hideMark/>
          </w:tcPr>
          <w:p w14:paraId="50DC0EB7" w14:textId="77777777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b/>
                <w:bCs/>
                <w:color w:val="auto"/>
                <w:kern w:val="24"/>
                <w:lang w:eastAsia="cs-CZ"/>
                <w14:ligatures w14:val="none"/>
              </w:rPr>
              <w:t xml:space="preserve">Oddíl 1 přílohy II </w:t>
            </w:r>
          </w:p>
          <w:p w14:paraId="252D6EE8" w14:textId="77777777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color w:val="auto"/>
                <w:kern w:val="24"/>
                <w:lang w:eastAsia="cs-CZ"/>
                <w14:ligatures w14:val="none"/>
              </w:rPr>
              <w:t>(„HFO“, např. HFC-1234yf)</w:t>
            </w:r>
          </w:p>
        </w:tc>
        <w:tc>
          <w:tcPr>
            <w:tcW w:w="1842" w:type="dxa"/>
            <w:hideMark/>
          </w:tcPr>
          <w:p w14:paraId="5B047E64" w14:textId="5F611609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proofErr w:type="gramStart"/>
            <w:r w:rsidRPr="005136CF">
              <w:rPr>
                <w:rFonts w:eastAsia="Times New Roman" w:cs="Arial"/>
                <w:b/>
                <w:bCs/>
                <w:color w:val="auto"/>
                <w:kern w:val="24"/>
                <w:lang w:eastAsia="cs-CZ"/>
                <w14:ligatures w14:val="none"/>
              </w:rPr>
              <w:t>1kg - 10kg</w:t>
            </w:r>
            <w:proofErr w:type="gramEnd"/>
          </w:p>
        </w:tc>
        <w:tc>
          <w:tcPr>
            <w:tcW w:w="1843" w:type="dxa"/>
            <w:hideMark/>
          </w:tcPr>
          <w:p w14:paraId="5671A070" w14:textId="2A972F29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b/>
                <w:bCs/>
                <w:color w:val="auto"/>
                <w:kern w:val="24"/>
                <w:lang w:eastAsia="cs-CZ"/>
                <w14:ligatures w14:val="none"/>
              </w:rPr>
              <w:t>10</w:t>
            </w:r>
            <w:proofErr w:type="gramStart"/>
            <w:r w:rsidRPr="005136CF">
              <w:rPr>
                <w:rFonts w:eastAsia="Times New Roman" w:cs="Arial"/>
                <w:b/>
                <w:bCs/>
                <w:color w:val="auto"/>
                <w:kern w:val="24"/>
                <w:lang w:eastAsia="cs-CZ"/>
                <w14:ligatures w14:val="none"/>
              </w:rPr>
              <w:t>kg  -</w:t>
            </w:r>
            <w:proofErr w:type="gramEnd"/>
            <w:r w:rsidRPr="005136CF">
              <w:rPr>
                <w:rFonts w:eastAsia="Times New Roman" w:cs="Arial"/>
                <w:b/>
                <w:bCs/>
                <w:color w:val="auto"/>
                <w:kern w:val="24"/>
                <w:lang w:eastAsia="cs-CZ"/>
                <w14:ligatures w14:val="none"/>
              </w:rPr>
              <w:t xml:space="preserve"> 100kg</w:t>
            </w:r>
          </w:p>
        </w:tc>
        <w:tc>
          <w:tcPr>
            <w:tcW w:w="1956" w:type="dxa"/>
            <w:hideMark/>
          </w:tcPr>
          <w:p w14:paraId="6024C7EB" w14:textId="04F91436" w:rsidR="005136CF" w:rsidRPr="005136CF" w:rsidRDefault="005136CF" w:rsidP="005136CF">
            <w:pPr>
              <w:rPr>
                <w:rFonts w:eastAsia="Times New Roman" w:cs="Arial"/>
                <w:color w:val="auto"/>
                <w:kern w:val="0"/>
                <w:lang w:eastAsia="cs-CZ"/>
                <w14:ligatures w14:val="none"/>
              </w:rPr>
            </w:pPr>
            <w:r w:rsidRPr="005136CF">
              <w:rPr>
                <w:rFonts w:eastAsia="Times New Roman" w:cs="Arial"/>
                <w:b/>
                <w:bCs/>
                <w:color w:val="auto"/>
                <w:kern w:val="24"/>
                <w:lang w:eastAsia="cs-CZ"/>
                <w14:ligatures w14:val="none"/>
              </w:rPr>
              <w:sym w:font="Symbol" w:char="F03E"/>
            </w:r>
            <w:r w:rsidRPr="005136CF">
              <w:rPr>
                <w:rFonts w:eastAsia="Times New Roman" w:cs="Arial"/>
                <w:b/>
                <w:bCs/>
                <w:color w:val="auto"/>
                <w:kern w:val="24"/>
                <w:lang w:eastAsia="cs-CZ"/>
                <w14:ligatures w14:val="none"/>
              </w:rPr>
              <w:t xml:space="preserve"> </w:t>
            </w:r>
            <w:proofErr w:type="gramStart"/>
            <w:r w:rsidRPr="005136CF">
              <w:rPr>
                <w:rFonts w:eastAsia="Times New Roman" w:cs="Arial"/>
                <w:b/>
                <w:bCs/>
                <w:color w:val="auto"/>
                <w:kern w:val="24"/>
                <w:lang w:eastAsia="cs-CZ"/>
                <w14:ligatures w14:val="none"/>
              </w:rPr>
              <w:t>100kg</w:t>
            </w:r>
            <w:proofErr w:type="gramEnd"/>
          </w:p>
        </w:tc>
      </w:tr>
    </w:tbl>
    <w:p w14:paraId="46EBAB0F" w14:textId="77777777" w:rsidR="005136CF" w:rsidRPr="005136CF" w:rsidRDefault="005136CF" w:rsidP="005136CF">
      <w:pPr>
        <w:pStyle w:val="Odstavecseseznamem"/>
        <w:ind w:left="0"/>
        <w:rPr>
          <w:rFonts w:ascii="Calibri" w:hAnsi="Calibri"/>
          <w:sz w:val="18"/>
          <w:szCs w:val="18"/>
        </w:rPr>
      </w:pPr>
      <w:r w:rsidRPr="005136CF">
        <w:rPr>
          <w:rFonts w:ascii="Calibri" w:hAnsi="Calibri"/>
          <w:sz w:val="18"/>
          <w:szCs w:val="18"/>
        </w:rPr>
        <w:t>* Při nainstalovaném systému detekce úniků</w:t>
      </w:r>
    </w:p>
    <w:p w14:paraId="5A0E427A" w14:textId="77777777" w:rsidR="005136CF" w:rsidRPr="005136CF" w:rsidRDefault="005136CF" w:rsidP="005136CF">
      <w:pPr>
        <w:pStyle w:val="Odstavecseseznamem"/>
        <w:ind w:left="0"/>
        <w:rPr>
          <w:rFonts w:ascii="Calibri" w:hAnsi="Calibri"/>
          <w:sz w:val="18"/>
          <w:szCs w:val="18"/>
        </w:rPr>
      </w:pPr>
      <w:r w:rsidRPr="005136CF">
        <w:rPr>
          <w:rFonts w:ascii="Calibri" w:hAnsi="Calibri"/>
          <w:sz w:val="18"/>
          <w:szCs w:val="18"/>
        </w:rPr>
        <w:t>** Povinný systém detekce úniků</w:t>
      </w:r>
    </w:p>
    <w:p w14:paraId="464BFDCE" w14:textId="77777777" w:rsidR="005136CF" w:rsidRDefault="005136CF" w:rsidP="005136CF">
      <w:pPr>
        <w:pStyle w:val="Odstavecseseznamem"/>
        <w:ind w:left="0"/>
        <w:rPr>
          <w:rFonts w:ascii="Calibri" w:hAnsi="Calibri"/>
        </w:rPr>
      </w:pPr>
    </w:p>
    <w:p w14:paraId="5886C2FC" w14:textId="77777777" w:rsidR="005136CF" w:rsidRDefault="005136CF" w:rsidP="005136CF">
      <w:pPr>
        <w:pStyle w:val="Odstavecseseznamem"/>
        <w:ind w:left="0"/>
        <w:rPr>
          <w:rFonts w:ascii="Calibri" w:hAnsi="Calibri"/>
        </w:rPr>
      </w:pPr>
    </w:p>
    <w:p w14:paraId="40A096ED" w14:textId="34B317E8" w:rsidR="005136CF" w:rsidRDefault="00214659" w:rsidP="002E6AD2">
      <w:pPr>
        <w:pStyle w:val="Odstavecseseznamem"/>
        <w:spacing w:after="120"/>
        <w:ind w:left="0"/>
        <w:contextualSpacing w:val="0"/>
        <w:jc w:val="both"/>
        <w:rPr>
          <w:rFonts w:ascii="Calibri" w:hAnsi="Calibri"/>
        </w:rPr>
      </w:pPr>
      <w:bookmarkStart w:id="0" w:name="_Hlk194922665"/>
      <w:r>
        <w:rPr>
          <w:rFonts w:ascii="Calibri" w:hAnsi="Calibri"/>
        </w:rPr>
        <w:t>K</w:t>
      </w:r>
      <w:r w:rsidR="005136CF">
        <w:rPr>
          <w:rFonts w:ascii="Calibri" w:hAnsi="Calibri"/>
        </w:rPr>
        <w:t>ontrol</w:t>
      </w:r>
      <w:r>
        <w:rPr>
          <w:rFonts w:ascii="Calibri" w:hAnsi="Calibri"/>
        </w:rPr>
        <w:t>y</w:t>
      </w:r>
      <w:r w:rsidR="005136CF">
        <w:rPr>
          <w:rFonts w:ascii="Calibri" w:hAnsi="Calibri"/>
        </w:rPr>
        <w:t xml:space="preserve"> těsnosti zařízení</w:t>
      </w:r>
      <w:r w:rsidR="002E6AD2">
        <w:rPr>
          <w:rFonts w:ascii="Calibri" w:hAnsi="Calibri"/>
        </w:rPr>
        <w:t>, které obsahuje některou ze směsí látek typu HFC a HFO</w:t>
      </w:r>
      <w:r>
        <w:rPr>
          <w:rFonts w:ascii="Calibri" w:hAnsi="Calibri"/>
        </w:rPr>
        <w:t xml:space="preserve"> jsou povinné, pokud je dosaženo alespoň jednoho z uvedených limitů. Četnost kontrol se následně určuje dle limitu, kterého je dosaženo dříve.</w:t>
      </w:r>
    </w:p>
    <w:p w14:paraId="3E0F8E37" w14:textId="5C74F96E" w:rsidR="005136CF" w:rsidRPr="005136CF" w:rsidRDefault="002E6AD2" w:rsidP="00214659">
      <w:pPr>
        <w:pStyle w:val="Odstavecseseznamem"/>
        <w:numPr>
          <w:ilvl w:val="0"/>
          <w:numId w:val="8"/>
        </w:numPr>
        <w:spacing w:after="120"/>
        <w:jc w:val="both"/>
      </w:pPr>
      <w:r>
        <w:t xml:space="preserve">Celkový potenciál globálního oteplování </w:t>
      </w:r>
      <w:r w:rsidR="005136CF" w:rsidRPr="005136CF">
        <w:t>GWP</w:t>
      </w:r>
      <w:r>
        <w:rPr>
          <w:rStyle w:val="Znakapoznpodarou"/>
        </w:rPr>
        <w:footnoteReference w:id="1"/>
      </w:r>
      <w:r w:rsidR="005136CF" w:rsidRPr="005136CF">
        <w:t xml:space="preserve"> směsi přesáhne GWP limit při zohlednění GWP všech složek, jak je požadováno v</w:t>
      </w:r>
      <w:r>
        <w:t> </w:t>
      </w:r>
      <w:r w:rsidR="005136CF" w:rsidRPr="005136CF">
        <w:t>příloze VI nebo</w:t>
      </w:r>
    </w:p>
    <w:p w14:paraId="75CF97F0" w14:textId="7AA67E81" w:rsidR="005136CF" w:rsidRPr="005136CF" w:rsidRDefault="005136CF" w:rsidP="00214659">
      <w:pPr>
        <w:pStyle w:val="Odstavecseseznamem"/>
        <w:numPr>
          <w:ilvl w:val="0"/>
          <w:numId w:val="8"/>
        </w:numPr>
        <w:spacing w:after="120"/>
        <w:jc w:val="both"/>
      </w:pPr>
      <w:r w:rsidRPr="005136CF">
        <w:t>Směs obsahuje více než 1 kg látky</w:t>
      </w:r>
      <w:r w:rsidR="003D46D5">
        <w:t xml:space="preserve"> „HFO“</w:t>
      </w:r>
      <w:r w:rsidRPr="005136CF">
        <w:t xml:space="preserve"> (oddíl 1 </w:t>
      </w:r>
      <w:r w:rsidR="003D46D5">
        <w:t>Přílohy</w:t>
      </w:r>
      <w:r w:rsidRPr="005136CF">
        <w:t xml:space="preserve"> II) – tzn. </w:t>
      </w:r>
      <w:r w:rsidR="003D46D5">
        <w:t>že kilogramový</w:t>
      </w:r>
      <w:r w:rsidRPr="005136CF">
        <w:t xml:space="preserve"> limit se vztahuje pouze na složku HFO, nikoliv směs jako celek</w:t>
      </w:r>
      <w:r w:rsidR="003D46D5">
        <w:t>.</w:t>
      </w:r>
    </w:p>
    <w:bookmarkEnd w:id="0"/>
    <w:p w14:paraId="05F65995" w14:textId="77777777" w:rsidR="005136CF" w:rsidRDefault="005136CF" w:rsidP="009A0EA7">
      <w:pPr>
        <w:pStyle w:val="Odstavecseseznamem"/>
        <w:ind w:left="0"/>
        <w:jc w:val="both"/>
      </w:pPr>
    </w:p>
    <w:p w14:paraId="1298E236" w14:textId="1E6C42AE" w:rsidR="006273B3" w:rsidRDefault="00BC0EEA" w:rsidP="009A0EA7">
      <w:pPr>
        <w:pStyle w:val="Odstavecseseznamem"/>
        <w:ind w:left="0"/>
        <w:jc w:val="both"/>
      </w:pPr>
      <w:r>
        <w:t>Následující tabulka pro používané směsi chladiv typu HFC/HFO uvádí při jaké celkové hmotnosti dosáhne směs limitu 5 t ekvivalentu CO</w:t>
      </w:r>
      <w:r w:rsidRPr="003935B0">
        <w:rPr>
          <w:vertAlign w:val="subscript"/>
        </w:rPr>
        <w:t>2</w:t>
      </w:r>
      <w:r>
        <w:t xml:space="preserve"> nebo celkové hmotnosti směsi, </w:t>
      </w:r>
      <w:r w:rsidR="003935B0">
        <w:t>při které má</w:t>
      </w:r>
      <w:r>
        <w:t xml:space="preserve"> složka</w:t>
      </w:r>
      <w:r w:rsidR="003935B0">
        <w:t xml:space="preserve"> HFO</w:t>
      </w:r>
      <w:r>
        <w:t xml:space="preserve"> </w:t>
      </w:r>
      <w:r w:rsidR="003935B0">
        <w:t>h</w:t>
      </w:r>
      <w:r>
        <w:t xml:space="preserve">motnost přesně 1 kg. </w:t>
      </w:r>
      <w:r w:rsidR="003935B0">
        <w:t>Četnost kontrol těsnosti je dána</w:t>
      </w:r>
      <w:r>
        <w:t xml:space="preserve"> první</w:t>
      </w:r>
      <w:r w:rsidR="003935B0">
        <w:t>m</w:t>
      </w:r>
      <w:r>
        <w:t xml:space="preserve"> dosažen</w:t>
      </w:r>
      <w:r w:rsidR="003935B0">
        <w:t>ým</w:t>
      </w:r>
      <w:r>
        <w:t xml:space="preserve"> limit</w:t>
      </w:r>
      <w:r w:rsidR="003935B0">
        <w:t>em (zvýrazněn žlutě).</w:t>
      </w:r>
      <w:r>
        <w:t xml:space="preserve"> </w:t>
      </w:r>
      <w:r w:rsidR="003935B0">
        <w:t xml:space="preserve"> </w:t>
      </w:r>
      <w:r>
        <w:t xml:space="preserve"> </w:t>
      </w:r>
    </w:p>
    <w:p w14:paraId="0A30F902" w14:textId="4DF46FB1" w:rsidR="009A0EA7" w:rsidRPr="009A0EA7" w:rsidRDefault="009A0EA7" w:rsidP="009A0EA7">
      <w:pPr>
        <w:pStyle w:val="Odstavecseseznamem"/>
        <w:ind w:left="0"/>
        <w:jc w:val="both"/>
      </w:pPr>
      <w:r w:rsidRPr="009A0EA7">
        <w:t>Důležité je uvažovat metrickou hmotnost HFO složky směsi a pokud je v tomto případě dosaženo limitu 1 kg dříve než limitu 5 t ekvivalentu CO</w:t>
      </w:r>
      <w:r w:rsidRPr="009A0EA7">
        <w:rPr>
          <w:vertAlign w:val="subscript"/>
        </w:rPr>
        <w:t>2</w:t>
      </w:r>
      <w:r w:rsidRPr="009A0EA7">
        <w:t xml:space="preserve"> směsi jako celku, řídí se četnost kontrol dle schématu pro </w:t>
      </w:r>
      <w:r w:rsidR="00131B3F">
        <w:t>látky oddílu 1 Přílohy II (</w:t>
      </w:r>
      <w:r w:rsidRPr="009A0EA7">
        <w:t>HFO látky</w:t>
      </w:r>
      <w:r w:rsidR="00131B3F">
        <w:t>)</w:t>
      </w:r>
      <w:r w:rsidRPr="009A0EA7">
        <w:t>.</w:t>
      </w:r>
    </w:p>
    <w:p w14:paraId="3C9BB9F7" w14:textId="77777777" w:rsidR="009A0EA7" w:rsidRDefault="009A0EA7" w:rsidP="009A0EA7">
      <w:pPr>
        <w:pStyle w:val="Odstavecseseznamem"/>
        <w:ind w:left="0"/>
      </w:pPr>
    </w:p>
    <w:tbl>
      <w:tblPr>
        <w:tblW w:w="9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3729"/>
        <w:gridCol w:w="1873"/>
        <w:gridCol w:w="595"/>
        <w:gridCol w:w="1120"/>
        <w:gridCol w:w="1033"/>
      </w:tblGrid>
      <w:tr w:rsidR="00BC0EEA" w:rsidRPr="00BC0EEA" w14:paraId="07CACFA2" w14:textId="77777777" w:rsidTr="00BC0EEA">
        <w:trPr>
          <w:trHeight w:val="32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07964702" w14:textId="77777777" w:rsidR="00BC0EEA" w:rsidRPr="00BC0EEA" w:rsidRDefault="00BC0EEA" w:rsidP="00BC0EEA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směs HFC/HFO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2B2ED984" w14:textId="77777777" w:rsidR="00BC0EEA" w:rsidRPr="00BC0EEA" w:rsidRDefault="00BC0EEA" w:rsidP="00BC0EEA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složení a % podíl "HFO"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5460942C" w14:textId="77777777" w:rsidR="00BC0EEA" w:rsidRDefault="00BC0EEA" w:rsidP="00BC0EEA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% podíly látek</w:t>
            </w:r>
          </w:p>
          <w:p w14:paraId="617D1E13" w14:textId="77777777" w:rsidR="009221BD" w:rsidRDefault="009221BD" w:rsidP="00BC0EE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HFC/</w:t>
            </w:r>
            <w:r>
              <w:rPr>
                <w:rFonts w:eastAsia="Times New Roman" w:cs="Calibri"/>
                <w:b/>
                <w:bCs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HFO</w:t>
            </w:r>
          </w:p>
          <w:p w14:paraId="3F5B62DD" w14:textId="6646D543" w:rsidR="009221BD" w:rsidRPr="00BC0EEA" w:rsidRDefault="009221BD" w:rsidP="00BC0EEA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p</w:t>
            </w:r>
            <w:r w:rsidRPr="009221BD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říp. jiné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2FEC7DD2" w14:textId="77777777" w:rsidR="00BC0EEA" w:rsidRPr="00BC0EEA" w:rsidRDefault="00BC0EEA" w:rsidP="00BC0EEA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GWP 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48235"/>
            <w:vAlign w:val="center"/>
            <w:hideMark/>
          </w:tcPr>
          <w:p w14:paraId="1EA3AA59" w14:textId="77777777" w:rsidR="00BC0EEA" w:rsidRPr="00BC0EEA" w:rsidRDefault="00BC0EEA" w:rsidP="00BC0EEA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Hmotnost směsi v kg při dosažení limitu</w:t>
            </w:r>
          </w:p>
        </w:tc>
      </w:tr>
      <w:tr w:rsidR="00BC0EEA" w:rsidRPr="00BC0EEA" w14:paraId="15173978" w14:textId="77777777" w:rsidTr="00BC0EEA">
        <w:trPr>
          <w:trHeight w:val="472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8C2F47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FE7DD3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2DE8FC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04FE384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03D7FBE0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gramStart"/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5t</w:t>
            </w:r>
            <w:proofErr w:type="gramEnd"/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ekv</w:t>
            </w:r>
            <w:proofErr w:type="spellEnd"/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>. CO</w:t>
            </w: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vertAlign w:val="subscript"/>
                <w:lang w:eastAsia="cs-CZ"/>
                <w14:ligatures w14:val="none"/>
              </w:rPr>
              <w:t>2</w:t>
            </w: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0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548235"/>
            <w:vAlign w:val="center"/>
            <w:hideMark/>
          </w:tcPr>
          <w:p w14:paraId="0FE66757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cs-CZ"/>
                <w14:ligatures w14:val="none"/>
              </w:rPr>
              <w:t xml:space="preserve"> 1 kg "HFO" </w:t>
            </w:r>
          </w:p>
        </w:tc>
      </w:tr>
      <w:tr w:rsidR="00BC0EEA" w:rsidRPr="00BC0EEA" w14:paraId="27E9A84A" w14:textId="77777777" w:rsidTr="00BC0EEA">
        <w:trPr>
          <w:trHeight w:val="34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614C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R448A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7CFF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R32/R125/R134a/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R1234yf/R1234ze=20/7 %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1B0D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26/26/21/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20/7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A873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52E1EBE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2622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3,70</w:t>
            </w:r>
          </w:p>
        </w:tc>
      </w:tr>
      <w:tr w:rsidR="00BC0EEA" w:rsidRPr="00BC0EEA" w14:paraId="2B6395F5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9F2BA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R449A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11AD3A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R32/R125/R134a/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R1234yf=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25,3%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F53E0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24,3/24,7/25,7/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25,3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18EFE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4C77F36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3,58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682BC3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3,95</w:t>
            </w:r>
          </w:p>
        </w:tc>
      </w:tr>
      <w:tr w:rsidR="00BC0EEA" w:rsidRPr="00BC0EEA" w14:paraId="654A8521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A1BC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R450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8F3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R134a/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R1234ze = 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58%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B8F9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1939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87B6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8,26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C550916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1,72</w:t>
            </w:r>
          </w:p>
        </w:tc>
      </w:tr>
      <w:tr w:rsidR="00BC0EEA" w:rsidRPr="00BC0EEA" w14:paraId="156BF2F0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E231CE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R452A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9D9E7A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R32/R125/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R1234yf=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D584DC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11/59/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6E442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97F86E1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2,34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66237B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3,33</w:t>
            </w:r>
          </w:p>
        </w:tc>
      </w:tr>
      <w:tr w:rsidR="00BC0EEA" w:rsidRPr="00BC0EEA" w14:paraId="6662C20E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9F13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R452B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9D74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R32/R125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/R1234yf=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4727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67/7/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17F1A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03C7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7,16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5FBC288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3,85</w:t>
            </w:r>
          </w:p>
        </w:tc>
      </w:tr>
      <w:tr w:rsidR="00BC0EEA" w:rsidRPr="00BC0EEA" w14:paraId="6C7CD234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BB8D71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R454A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2E19A5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R32/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R1234yf=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9A9080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35/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A67C3C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F8B57B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20,92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357058C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1,54</w:t>
            </w:r>
          </w:p>
        </w:tc>
      </w:tr>
      <w:tr w:rsidR="00BC0EEA" w:rsidRPr="00BC0EEA" w14:paraId="29A6418D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08F5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R454B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606C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R32/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R1234yf=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31,1%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B24D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68,9/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31,1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90E1E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F35B7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10,71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9CC9CC0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3,22</w:t>
            </w:r>
          </w:p>
        </w:tc>
      </w:tr>
      <w:tr w:rsidR="00BC0EEA" w:rsidRPr="00BC0EEA" w14:paraId="4CD1D63E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2D82DB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R454C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01F415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R32/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R1234yf= 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78,5%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FDB261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21,5/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78,5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B10AAD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F38E13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33,78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39E5939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1,27</w:t>
            </w:r>
          </w:p>
        </w:tc>
      </w:tr>
      <w:tr w:rsidR="00BC0EEA" w:rsidRPr="00BC0EEA" w14:paraId="5DDA4F70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000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R455A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03EC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R744/R32/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R1234yf=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75,5%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38FF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3A7C22" w:themeColor="accent6" w:themeShade="BF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/21,5/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75,5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65452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A4C7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33,78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CD76213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1,32</w:t>
            </w:r>
          </w:p>
        </w:tc>
      </w:tr>
      <w:tr w:rsidR="00BC0EEA" w:rsidRPr="00BC0EEA" w14:paraId="45BB6C39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6620B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R513A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8BF81E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R134a/</w:t>
            </w:r>
            <w:r w:rsidRPr="00BC0EEA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R1234yf=</w:t>
            </w:r>
            <w:proofErr w:type="gramStart"/>
            <w:r w:rsidRPr="00BC0EEA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56%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BA729C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44/</w:t>
            </w:r>
            <w:r w:rsidRPr="00BC0EEA">
              <w:rPr>
                <w:rFonts w:eastAsia="Times New Roman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CBB119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55F189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7,92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A1FEC5C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i/>
                <w:i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1,79</w:t>
            </w:r>
          </w:p>
        </w:tc>
      </w:tr>
      <w:tr w:rsidR="00BC0EEA" w:rsidRPr="00BC0EEA" w14:paraId="7ACC8698" w14:textId="77777777" w:rsidTr="00BC0EEA">
        <w:trPr>
          <w:trHeight w:val="32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A8A3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R515B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5E90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R227ea/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R1234ze=</w:t>
            </w:r>
            <w:proofErr w:type="gramStart"/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91,1%</w:t>
            </w:r>
            <w:proofErr w:type="gramEnd"/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A2FC" w14:textId="77777777" w:rsidR="00BC0EEA" w:rsidRPr="00BC0EEA" w:rsidRDefault="00BC0EEA" w:rsidP="00BC0EE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8,9/</w:t>
            </w:r>
            <w:r w:rsidRPr="00BC0EEA">
              <w:rPr>
                <w:rFonts w:eastAsia="Times New Roman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91,1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943C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D90D9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17,06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5AA082" w14:textId="77777777" w:rsidR="00BC0EEA" w:rsidRPr="00BC0EEA" w:rsidRDefault="00BC0EEA" w:rsidP="00BC0EE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C0EEA">
              <w:rPr>
                <w:rFonts w:eastAsia="Times New Roman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1,10</w:t>
            </w:r>
          </w:p>
        </w:tc>
      </w:tr>
    </w:tbl>
    <w:p w14:paraId="2194B982" w14:textId="45132A96" w:rsidR="006273B3" w:rsidRPr="005136CF" w:rsidRDefault="006273B3" w:rsidP="005136CF">
      <w:pPr>
        <w:pStyle w:val="Odstavecseseznamem"/>
        <w:ind w:left="0"/>
      </w:pPr>
    </w:p>
    <w:p w14:paraId="5076F18C" w14:textId="20E89195" w:rsidR="00426232" w:rsidRDefault="00426232" w:rsidP="004C0C55">
      <w:pPr>
        <w:pStyle w:val="p1"/>
        <w:numPr>
          <w:ilvl w:val="0"/>
          <w:numId w:val="1"/>
        </w:numPr>
        <w:spacing w:after="120"/>
        <w:ind w:left="714" w:hanging="357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Zákaz používání F-plynů s GWP 2500 a více pro servis a údržbu chladicích zařízení od 1. ledna 2025</w:t>
      </w:r>
    </w:p>
    <w:p w14:paraId="31608B6A" w14:textId="142A8EA8" w:rsidR="00426232" w:rsidRPr="004C0C55" w:rsidRDefault="00426232" w:rsidP="00426232">
      <w:pPr>
        <w:pStyle w:val="p1"/>
        <w:spacing w:after="240"/>
        <w:rPr>
          <w:rFonts w:ascii="Aptos" w:hAnsi="Aptos"/>
          <w:color w:val="3A7C22" w:themeColor="accent6" w:themeShade="BF"/>
          <w:sz w:val="22"/>
          <w:szCs w:val="22"/>
        </w:rPr>
      </w:pPr>
      <w:r w:rsidRPr="004C0C55">
        <w:rPr>
          <w:rFonts w:ascii="Aptos" w:hAnsi="Aptos"/>
          <w:color w:val="3A7C22" w:themeColor="accent6" w:themeShade="BF"/>
          <w:sz w:val="22"/>
          <w:szCs w:val="22"/>
        </w:rPr>
        <w:t xml:space="preserve">Čl. 13 odst. 3 </w:t>
      </w:r>
    </w:p>
    <w:p w14:paraId="79C7A6B3" w14:textId="1826CF72" w:rsidR="00426232" w:rsidRPr="00426232" w:rsidRDefault="00426232" w:rsidP="00426232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„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Použití fluorovaných skleníkových plynů s potenciálem globálního oteplování nejméně 2 500 pro údržbu nebo servis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chladicích zařízení s velikostí náplně nejméně 40 tun ekvivalentu CO</w:t>
      </w:r>
      <w:r w:rsidRPr="001D5AEA">
        <w:rPr>
          <w:rFonts w:ascii="Aptos" w:hAnsi="Aptos"/>
          <w:i/>
          <w:iCs/>
          <w:color w:val="3A7C22" w:themeColor="accent6" w:themeShade="BF"/>
          <w:sz w:val="22"/>
          <w:szCs w:val="22"/>
          <w:vertAlign w:val="subscript"/>
        </w:rPr>
        <w:t>2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se 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z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akazuje. Od 1. ledna 2025 se zakazuje použití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fluorovaných skleníkových plynů s potenciálem globálního oteplování nejméně 2 500 pro údržbu nebo servis jakýchkoli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chladicích zařízení.</w:t>
      </w:r>
    </w:p>
    <w:p w14:paraId="3CF29FD8" w14:textId="61B4BE08" w:rsidR="00426232" w:rsidRPr="00426232" w:rsidRDefault="00426232" w:rsidP="00426232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Zákazy uvedené v prvním pododstavci se nevztahují na vojenská vybavení nebo zařízení určená pro užití k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 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chlazení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produktů při teplotách nižších než – 50 °C.</w:t>
      </w:r>
    </w:p>
    <w:p w14:paraId="42EAE308" w14:textId="77777777" w:rsidR="00426232" w:rsidRPr="00426232" w:rsidRDefault="00426232" w:rsidP="00426232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Zákazy uvedené v prvním pododstavci se do 1. ledna 2030 nepoužijí na tyto kategorie fluorovaných skleníkových plynů:</w:t>
      </w:r>
    </w:p>
    <w:p w14:paraId="62A15A72" w14:textId="4D2FE182" w:rsidR="00426232" w:rsidRPr="00426232" w:rsidRDefault="00426232" w:rsidP="00426232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a) regenerované fluorované skleníkové plyny uvedené v příloze I s potenciálem globálního oteplování nejméně 2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 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500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používané při údržbě nebo servisu stávajících chladicích zařízení, pokud nádoby obsahující tyto plyny byly označeny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v souladu s čl. 12 odst. 7;</w:t>
      </w:r>
    </w:p>
    <w:p w14:paraId="296D50CD" w14:textId="4C4ACA30" w:rsidR="00426232" w:rsidRPr="00426232" w:rsidRDefault="00426232" w:rsidP="00426232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b) recyklované fluorované skleníkové plyny uvedené v příloze I s potenciálem globálního oteplování nejméně 2 500, které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se používají při údržbě nebo servisu stávajících chladicích zařízení, pod podmínkou, že byly z tohoto zařízení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znovuzískány; takové recyklované plyny smí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lastRenderedPageBreak/>
        <w:t>použít pouze podnik, který je znovuzískal v rámci údržby nebo servisu,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nebo podnik, pro nějž byly v rámci údržby nebo servisu znovuzískány.</w:t>
      </w:r>
    </w:p>
    <w:p w14:paraId="6D0AB6D7" w14:textId="4D7E3B91" w:rsidR="00426232" w:rsidRDefault="00426232" w:rsidP="00426232">
      <w:pPr>
        <w:pStyle w:val="p1"/>
        <w:spacing w:after="120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Zákazy uvedené v prvním pododstavci se nevztahují na chladicí zařízení, pro něž byla povolena výjimka v souladu s čl. 11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26232">
        <w:rPr>
          <w:rFonts w:ascii="Aptos" w:hAnsi="Aptos"/>
          <w:i/>
          <w:iCs/>
          <w:color w:val="3A7C22" w:themeColor="accent6" w:themeShade="BF"/>
          <w:sz w:val="22"/>
          <w:szCs w:val="22"/>
        </w:rPr>
        <w:t>odst. 5.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“</w:t>
      </w:r>
    </w:p>
    <w:p w14:paraId="2570C65B" w14:textId="5EF89EF4" w:rsidR="00426232" w:rsidRDefault="00F67322" w:rsidP="00426232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  <w:r>
        <w:rPr>
          <w:rFonts w:ascii="Aptos" w:hAnsi="Aptos"/>
          <w:color w:val="auto"/>
          <w:sz w:val="22"/>
          <w:szCs w:val="22"/>
        </w:rPr>
        <w:t xml:space="preserve">Od 1. ledna 2025 platí zákaz používat pro údržbu a servis chladicích zařízení F-plyny s GWP 2500 a vyšší. V praxi se jedná zejména o látku </w:t>
      </w:r>
      <w:r w:rsidRPr="00594ADA">
        <w:rPr>
          <w:rFonts w:ascii="Aptos" w:hAnsi="Aptos"/>
          <w:b/>
          <w:bCs/>
          <w:color w:val="auto"/>
          <w:sz w:val="22"/>
          <w:szCs w:val="22"/>
        </w:rPr>
        <w:t>R404a</w:t>
      </w:r>
      <w:r>
        <w:rPr>
          <w:rFonts w:ascii="Aptos" w:hAnsi="Aptos"/>
          <w:color w:val="auto"/>
          <w:sz w:val="22"/>
          <w:szCs w:val="22"/>
        </w:rPr>
        <w:t xml:space="preserve"> (GWP = 3922)</w:t>
      </w:r>
      <w:r w:rsidR="00594ADA">
        <w:rPr>
          <w:rFonts w:ascii="Aptos" w:hAnsi="Aptos"/>
          <w:color w:val="auto"/>
          <w:sz w:val="22"/>
          <w:szCs w:val="22"/>
        </w:rPr>
        <w:t>.</w:t>
      </w:r>
    </w:p>
    <w:p w14:paraId="56C79562" w14:textId="33008265" w:rsidR="00594ADA" w:rsidRDefault="00594ADA" w:rsidP="00426232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  <w:r w:rsidRPr="00594ADA">
        <w:rPr>
          <w:rFonts w:ascii="Aptos" w:hAnsi="Aptos"/>
          <w:color w:val="auto"/>
          <w:sz w:val="22"/>
          <w:szCs w:val="22"/>
        </w:rPr>
        <w:t xml:space="preserve">Prodej nové </w:t>
      </w:r>
      <w:r>
        <w:rPr>
          <w:rFonts w:ascii="Aptos" w:hAnsi="Aptos"/>
          <w:color w:val="auto"/>
          <w:sz w:val="22"/>
          <w:szCs w:val="22"/>
        </w:rPr>
        <w:t xml:space="preserve">látky </w:t>
      </w:r>
      <w:r w:rsidRPr="00594ADA">
        <w:rPr>
          <w:rFonts w:ascii="Aptos" w:hAnsi="Aptos"/>
          <w:color w:val="auto"/>
          <w:sz w:val="22"/>
          <w:szCs w:val="22"/>
        </w:rPr>
        <w:t>R404</w:t>
      </w:r>
      <w:r>
        <w:rPr>
          <w:rFonts w:ascii="Aptos" w:hAnsi="Aptos"/>
          <w:color w:val="auto"/>
          <w:sz w:val="22"/>
          <w:szCs w:val="22"/>
        </w:rPr>
        <w:t>a</w:t>
      </w:r>
      <w:r w:rsidRPr="00594ADA">
        <w:rPr>
          <w:rFonts w:ascii="Aptos" w:hAnsi="Aptos"/>
          <w:color w:val="auto"/>
          <w:sz w:val="22"/>
          <w:szCs w:val="22"/>
        </w:rPr>
        <w:t xml:space="preserve"> </w:t>
      </w:r>
      <w:r>
        <w:rPr>
          <w:rFonts w:ascii="Aptos" w:hAnsi="Aptos"/>
          <w:color w:val="auto"/>
          <w:sz w:val="22"/>
          <w:szCs w:val="22"/>
        </w:rPr>
        <w:t>sice od</w:t>
      </w:r>
      <w:r w:rsidRPr="00594ADA">
        <w:rPr>
          <w:rFonts w:ascii="Aptos" w:hAnsi="Aptos"/>
          <w:color w:val="auto"/>
          <w:sz w:val="22"/>
          <w:szCs w:val="22"/>
        </w:rPr>
        <w:t xml:space="preserve"> 1. </w:t>
      </w:r>
      <w:r>
        <w:rPr>
          <w:rFonts w:ascii="Aptos" w:hAnsi="Aptos"/>
          <w:color w:val="auto"/>
          <w:sz w:val="22"/>
          <w:szCs w:val="22"/>
        </w:rPr>
        <w:t>ledna</w:t>
      </w:r>
      <w:r w:rsidRPr="00594ADA">
        <w:rPr>
          <w:rFonts w:ascii="Aptos" w:hAnsi="Aptos"/>
          <w:color w:val="auto"/>
          <w:sz w:val="22"/>
          <w:szCs w:val="22"/>
        </w:rPr>
        <w:t xml:space="preserve"> 2025 </w:t>
      </w:r>
      <w:r>
        <w:rPr>
          <w:rFonts w:ascii="Aptos" w:hAnsi="Aptos"/>
          <w:color w:val="auto"/>
          <w:sz w:val="22"/>
          <w:szCs w:val="22"/>
        </w:rPr>
        <w:t>není zakázaný</w:t>
      </w:r>
      <w:r w:rsidRPr="00594ADA">
        <w:rPr>
          <w:rFonts w:ascii="Aptos" w:hAnsi="Aptos"/>
          <w:color w:val="auto"/>
          <w:sz w:val="22"/>
          <w:szCs w:val="22"/>
        </w:rPr>
        <w:t>, ale ne</w:t>
      </w:r>
      <w:r>
        <w:rPr>
          <w:rFonts w:ascii="Aptos" w:hAnsi="Aptos"/>
          <w:color w:val="auto"/>
          <w:sz w:val="22"/>
          <w:szCs w:val="22"/>
        </w:rPr>
        <w:t>ní</w:t>
      </w:r>
      <w:r w:rsidRPr="00594ADA">
        <w:rPr>
          <w:rFonts w:ascii="Aptos" w:hAnsi="Aptos"/>
          <w:color w:val="auto"/>
          <w:sz w:val="22"/>
          <w:szCs w:val="22"/>
        </w:rPr>
        <w:t xml:space="preserve"> pro ni v sektoru </w:t>
      </w:r>
      <w:r>
        <w:rPr>
          <w:rFonts w:ascii="Aptos" w:hAnsi="Aptos"/>
          <w:color w:val="auto"/>
          <w:sz w:val="22"/>
          <w:szCs w:val="22"/>
        </w:rPr>
        <w:t xml:space="preserve">standardního </w:t>
      </w:r>
      <w:r w:rsidRPr="00594ADA">
        <w:rPr>
          <w:rFonts w:ascii="Aptos" w:hAnsi="Aptos"/>
          <w:color w:val="auto"/>
          <w:sz w:val="22"/>
          <w:szCs w:val="22"/>
        </w:rPr>
        <w:t xml:space="preserve">chlazení </w:t>
      </w:r>
      <w:r>
        <w:rPr>
          <w:rFonts w:ascii="Aptos" w:hAnsi="Aptos"/>
          <w:color w:val="auto"/>
          <w:sz w:val="22"/>
          <w:szCs w:val="22"/>
        </w:rPr>
        <w:t xml:space="preserve">při teplotách do -50 °C </w:t>
      </w:r>
      <w:r w:rsidRPr="00594ADA">
        <w:rPr>
          <w:rFonts w:ascii="Aptos" w:hAnsi="Aptos"/>
          <w:color w:val="auto"/>
          <w:sz w:val="22"/>
          <w:szCs w:val="22"/>
        </w:rPr>
        <w:t xml:space="preserve">legální využití. </w:t>
      </w:r>
      <w:r>
        <w:rPr>
          <w:rFonts w:ascii="Aptos" w:hAnsi="Aptos"/>
          <w:color w:val="auto"/>
          <w:sz w:val="22"/>
          <w:szCs w:val="22"/>
        </w:rPr>
        <w:t>V případě</w:t>
      </w:r>
      <w:r w:rsidRPr="00594ADA">
        <w:rPr>
          <w:rFonts w:ascii="Aptos" w:hAnsi="Aptos"/>
          <w:color w:val="auto"/>
          <w:sz w:val="22"/>
          <w:szCs w:val="22"/>
        </w:rPr>
        <w:t xml:space="preserve"> prodej</w:t>
      </w:r>
      <w:r>
        <w:rPr>
          <w:rFonts w:ascii="Aptos" w:hAnsi="Aptos"/>
          <w:color w:val="auto"/>
          <w:sz w:val="22"/>
          <w:szCs w:val="22"/>
        </w:rPr>
        <w:t>e</w:t>
      </w:r>
      <w:r w:rsidRPr="00594ADA">
        <w:rPr>
          <w:rFonts w:ascii="Aptos" w:hAnsi="Aptos"/>
          <w:color w:val="auto"/>
          <w:sz w:val="22"/>
          <w:szCs w:val="22"/>
        </w:rPr>
        <w:t xml:space="preserve"> pro servisní firmy, tedy za účelem jejího použití pro servis </w:t>
      </w:r>
      <w:r>
        <w:rPr>
          <w:rFonts w:ascii="Aptos" w:hAnsi="Aptos"/>
          <w:color w:val="auto"/>
          <w:sz w:val="22"/>
          <w:szCs w:val="22"/>
        </w:rPr>
        <w:t>apod.</w:t>
      </w:r>
      <w:r w:rsidRPr="00594ADA">
        <w:rPr>
          <w:rFonts w:ascii="Aptos" w:hAnsi="Aptos"/>
          <w:color w:val="auto"/>
          <w:sz w:val="22"/>
          <w:szCs w:val="22"/>
        </w:rPr>
        <w:t>, si prod</w:t>
      </w:r>
      <w:r>
        <w:rPr>
          <w:rFonts w:ascii="Aptos" w:hAnsi="Aptos"/>
          <w:color w:val="auto"/>
          <w:sz w:val="22"/>
          <w:szCs w:val="22"/>
        </w:rPr>
        <w:t>ávající</w:t>
      </w:r>
      <w:r w:rsidRPr="00594ADA">
        <w:rPr>
          <w:rFonts w:ascii="Aptos" w:hAnsi="Aptos"/>
          <w:color w:val="auto"/>
          <w:sz w:val="22"/>
          <w:szCs w:val="22"/>
        </w:rPr>
        <w:t xml:space="preserve"> musí vést záznam o prod</w:t>
      </w:r>
      <w:r>
        <w:rPr>
          <w:rFonts w:ascii="Aptos" w:hAnsi="Aptos"/>
          <w:color w:val="auto"/>
          <w:sz w:val="22"/>
          <w:szCs w:val="22"/>
        </w:rPr>
        <w:t xml:space="preserve">aném množství </w:t>
      </w:r>
      <w:r w:rsidRPr="00594ADA">
        <w:rPr>
          <w:rFonts w:ascii="Aptos" w:hAnsi="Aptos"/>
          <w:color w:val="auto"/>
          <w:sz w:val="22"/>
          <w:szCs w:val="22"/>
        </w:rPr>
        <w:t>R404</w:t>
      </w:r>
      <w:r>
        <w:rPr>
          <w:rFonts w:ascii="Aptos" w:hAnsi="Aptos"/>
          <w:color w:val="auto"/>
          <w:sz w:val="22"/>
          <w:szCs w:val="22"/>
        </w:rPr>
        <w:t>a</w:t>
      </w:r>
      <w:r w:rsidRPr="00594ADA">
        <w:rPr>
          <w:rFonts w:ascii="Aptos" w:hAnsi="Aptos"/>
          <w:color w:val="auto"/>
          <w:sz w:val="22"/>
          <w:szCs w:val="22"/>
        </w:rPr>
        <w:t xml:space="preserve"> </w:t>
      </w:r>
      <w:r>
        <w:rPr>
          <w:rFonts w:ascii="Aptos" w:hAnsi="Aptos"/>
          <w:color w:val="auto"/>
          <w:sz w:val="22"/>
          <w:szCs w:val="22"/>
        </w:rPr>
        <w:t xml:space="preserve">(stejně tak jako u jakéhokoliv jiného typu F-plynu) </w:t>
      </w:r>
      <w:r w:rsidRPr="00594ADA">
        <w:rPr>
          <w:rFonts w:ascii="Aptos" w:hAnsi="Aptos"/>
          <w:color w:val="auto"/>
          <w:sz w:val="22"/>
          <w:szCs w:val="22"/>
        </w:rPr>
        <w:t>a také o čísle certifikátu či osvědčení dotyčného nakupujícího (čl. 7 odst. 3 v souvislosti s čl. 11 odst. 6).</w:t>
      </w:r>
    </w:p>
    <w:p w14:paraId="05478EC1" w14:textId="0200B6D3" w:rsidR="00594ADA" w:rsidRDefault="00594ADA" w:rsidP="00426232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  <w:r>
        <w:rPr>
          <w:rFonts w:ascii="Aptos" w:hAnsi="Aptos"/>
          <w:color w:val="auto"/>
          <w:sz w:val="22"/>
          <w:szCs w:val="22"/>
        </w:rPr>
        <w:t>Legální cesty, jak naložit se zbylými zásobami R404a, případně jiného chladiva s GWP 2500 a více jsou následující:</w:t>
      </w:r>
    </w:p>
    <w:p w14:paraId="0B6418CE" w14:textId="5E697F1F" w:rsidR="00594ADA" w:rsidRDefault="00594ADA" w:rsidP="00594ADA">
      <w:pPr>
        <w:pStyle w:val="p1"/>
        <w:numPr>
          <w:ilvl w:val="0"/>
          <w:numId w:val="4"/>
        </w:numPr>
        <w:spacing w:after="120"/>
        <w:jc w:val="both"/>
        <w:rPr>
          <w:rFonts w:ascii="Aptos" w:hAnsi="Aptos"/>
          <w:color w:val="auto"/>
          <w:sz w:val="22"/>
          <w:szCs w:val="22"/>
        </w:rPr>
      </w:pPr>
      <w:r>
        <w:rPr>
          <w:rFonts w:ascii="Aptos" w:hAnsi="Aptos"/>
          <w:b/>
          <w:bCs/>
          <w:color w:val="auto"/>
          <w:sz w:val="22"/>
          <w:szCs w:val="22"/>
        </w:rPr>
        <w:t>Zneškodnění</w:t>
      </w:r>
      <w:r w:rsidRPr="00594ADA">
        <w:rPr>
          <w:rFonts w:ascii="Aptos" w:hAnsi="Aptos"/>
          <w:color w:val="auto"/>
          <w:sz w:val="22"/>
          <w:szCs w:val="22"/>
        </w:rPr>
        <w:t xml:space="preserve"> </w:t>
      </w:r>
    </w:p>
    <w:p w14:paraId="4322F58E" w14:textId="07C6CACE" w:rsidR="004C33BD" w:rsidRPr="004C33BD" w:rsidRDefault="004C33BD" w:rsidP="00594ADA">
      <w:pPr>
        <w:pStyle w:val="p1"/>
        <w:numPr>
          <w:ilvl w:val="0"/>
          <w:numId w:val="4"/>
        </w:numPr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 w:rsidRPr="004C33BD">
        <w:rPr>
          <w:rFonts w:asciiTheme="minorHAnsi" w:hAnsiTheme="minorHAnsi"/>
          <w:b/>
          <w:bCs/>
          <w:color w:val="auto"/>
          <w:sz w:val="22"/>
          <w:szCs w:val="22"/>
        </w:rPr>
        <w:t>Použití ve vojenském vybavení nebo zařízení určen</w:t>
      </w:r>
      <w:r>
        <w:rPr>
          <w:rFonts w:asciiTheme="minorHAnsi" w:hAnsiTheme="minorHAnsi"/>
          <w:b/>
          <w:bCs/>
          <w:color w:val="auto"/>
          <w:sz w:val="22"/>
          <w:szCs w:val="22"/>
        </w:rPr>
        <w:t>ém</w:t>
      </w:r>
      <w:r w:rsidRPr="004C33BD">
        <w:rPr>
          <w:rFonts w:asciiTheme="minorHAnsi" w:hAnsiTheme="minorHAnsi"/>
          <w:b/>
          <w:bCs/>
          <w:color w:val="auto"/>
          <w:sz w:val="22"/>
          <w:szCs w:val="22"/>
        </w:rPr>
        <w:t xml:space="preserve"> pro užití k chlazení produktů při teplotách nižších než – </w:t>
      </w:r>
      <w:proofErr w:type="gramStart"/>
      <w:r w:rsidRPr="004C33BD">
        <w:rPr>
          <w:rFonts w:asciiTheme="minorHAnsi" w:hAnsiTheme="minorHAnsi"/>
          <w:b/>
          <w:bCs/>
          <w:color w:val="auto"/>
          <w:sz w:val="22"/>
          <w:szCs w:val="22"/>
        </w:rPr>
        <w:t>50°C</w:t>
      </w:r>
      <w:proofErr w:type="gramEnd"/>
      <w:r w:rsidRPr="004C33BD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Pr="004C33BD">
        <w:rPr>
          <w:rFonts w:asciiTheme="minorHAnsi" w:hAnsiTheme="minorHAnsi"/>
          <w:color w:val="auto"/>
          <w:sz w:val="22"/>
          <w:szCs w:val="22"/>
        </w:rPr>
        <w:t xml:space="preserve">– nové chladivo R404A lze směřovat do těchto dvou sektorů </w:t>
      </w:r>
    </w:p>
    <w:p w14:paraId="5CA13F91" w14:textId="17D288C4" w:rsidR="004C33BD" w:rsidRDefault="004C33BD" w:rsidP="00594ADA">
      <w:pPr>
        <w:pStyle w:val="p1"/>
        <w:numPr>
          <w:ilvl w:val="0"/>
          <w:numId w:val="4"/>
        </w:numPr>
        <w:spacing w:after="120"/>
        <w:jc w:val="both"/>
        <w:rPr>
          <w:rFonts w:ascii="Aptos" w:hAnsi="Aptos"/>
          <w:color w:val="auto"/>
          <w:sz w:val="22"/>
          <w:szCs w:val="22"/>
        </w:rPr>
      </w:pPr>
      <w:r w:rsidRPr="003978D1">
        <w:rPr>
          <w:rFonts w:ascii="Aptos" w:hAnsi="Aptos"/>
          <w:b/>
          <w:bCs/>
          <w:color w:val="auto"/>
          <w:sz w:val="22"/>
          <w:szCs w:val="22"/>
        </w:rPr>
        <w:t>Použití v chladicích zařízeních, pro které je udělena výjimka za zákazů</w:t>
      </w:r>
      <w:r w:rsidRPr="004C33BD">
        <w:rPr>
          <w:rFonts w:ascii="Aptos" w:hAnsi="Aptos"/>
          <w:color w:val="auto"/>
          <w:sz w:val="22"/>
          <w:szCs w:val="22"/>
        </w:rPr>
        <w:t xml:space="preserve"> </w:t>
      </w:r>
      <w:r w:rsidR="003978D1" w:rsidRPr="003978D1">
        <w:rPr>
          <w:rFonts w:ascii="Aptos" w:hAnsi="Aptos"/>
          <w:b/>
          <w:bCs/>
          <w:color w:val="auto"/>
          <w:sz w:val="22"/>
          <w:szCs w:val="22"/>
        </w:rPr>
        <w:t xml:space="preserve">uvádění na trh </w:t>
      </w:r>
      <w:r w:rsidRPr="004C33BD">
        <w:rPr>
          <w:rFonts w:ascii="Aptos" w:hAnsi="Aptos"/>
          <w:color w:val="auto"/>
          <w:sz w:val="22"/>
          <w:szCs w:val="22"/>
        </w:rPr>
        <w:t xml:space="preserve">podle čl. 11 odst. 5. </w:t>
      </w:r>
      <w:r>
        <w:rPr>
          <w:rFonts w:ascii="Aptos" w:hAnsi="Aptos"/>
          <w:color w:val="auto"/>
          <w:sz w:val="22"/>
          <w:szCs w:val="22"/>
        </w:rPr>
        <w:t xml:space="preserve">Jedná se o velmi specifická </w:t>
      </w:r>
      <w:r w:rsidR="003978D1">
        <w:rPr>
          <w:rFonts w:ascii="Aptos" w:hAnsi="Aptos"/>
          <w:color w:val="auto"/>
          <w:sz w:val="22"/>
          <w:szCs w:val="22"/>
        </w:rPr>
        <w:t xml:space="preserve">použití. </w:t>
      </w:r>
      <w:r w:rsidRPr="004C33BD">
        <w:rPr>
          <w:rFonts w:ascii="Aptos" w:hAnsi="Aptos"/>
          <w:color w:val="auto"/>
          <w:sz w:val="22"/>
          <w:szCs w:val="22"/>
        </w:rPr>
        <w:t>Momentálně existuj</w:t>
      </w:r>
      <w:r>
        <w:rPr>
          <w:rFonts w:ascii="Aptos" w:hAnsi="Aptos"/>
          <w:color w:val="auto"/>
          <w:sz w:val="22"/>
          <w:szCs w:val="22"/>
        </w:rPr>
        <w:t>í</w:t>
      </w:r>
      <w:r w:rsidRPr="004C33BD">
        <w:rPr>
          <w:rFonts w:ascii="Aptos" w:hAnsi="Aptos"/>
          <w:color w:val="auto"/>
          <w:sz w:val="22"/>
          <w:szCs w:val="22"/>
        </w:rPr>
        <w:t xml:space="preserve"> </w:t>
      </w:r>
      <w:r>
        <w:rPr>
          <w:rFonts w:ascii="Aptos" w:hAnsi="Aptos"/>
          <w:color w:val="auto"/>
          <w:sz w:val="22"/>
          <w:szCs w:val="22"/>
        </w:rPr>
        <w:t>tyto časově omezené výjimky</w:t>
      </w:r>
      <w:r w:rsidR="003978D1">
        <w:rPr>
          <w:rFonts w:ascii="Aptos" w:hAnsi="Aptos"/>
          <w:color w:val="auto"/>
          <w:sz w:val="22"/>
          <w:szCs w:val="22"/>
        </w:rPr>
        <w:t>:</w:t>
      </w:r>
    </w:p>
    <w:p w14:paraId="5D17FAEE" w14:textId="500D822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  <w:r>
        <w:rPr>
          <w:rFonts w:ascii="Aptos" w:hAnsi="Aptos"/>
          <w:noProof/>
          <w:color w:val="auto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A03FB" wp14:editId="632D3321">
                <wp:simplePos x="0" y="0"/>
                <wp:positionH relativeFrom="column">
                  <wp:posOffset>-23495</wp:posOffset>
                </wp:positionH>
                <wp:positionV relativeFrom="paragraph">
                  <wp:posOffset>52705</wp:posOffset>
                </wp:positionV>
                <wp:extent cx="6067425" cy="2105025"/>
                <wp:effectExtent l="0" t="0" r="28575" b="28575"/>
                <wp:wrapNone/>
                <wp:docPr id="146525375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4B245" w14:textId="77777777" w:rsidR="00131B3F" w:rsidRDefault="00131B3F" w:rsidP="00131B3F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hyperlink r:id="rId9" w:tgtFrame="_blank" w:tooltip="odkaz se otevírá v novém okně" w:history="1">
                              <w:r w:rsidRPr="00131B3F">
                                <w:rPr>
                                  <w:rStyle w:val="Hypertextovodkaz"/>
                                </w:rPr>
                                <w:t>Prováděcí nařízení Komise (EU) 2024/2729</w:t>
                              </w:r>
                            </w:hyperlink>
                            <w:r w:rsidRPr="00131B3F">
                              <w:rPr>
                                <w:rStyle w:val="Hypertextovodkaz"/>
                              </w:rPr>
                              <w:t xml:space="preserve"> </w:t>
                            </w:r>
                            <w:r>
                              <w:t>výjimka pro použití F-plynů v některých zařízeních pro simulaci životního prostředí, laboratorních zařízeních pro sprejové sušení nebo mrazové sušení a v laboratorních odstředivkách</w:t>
                            </w:r>
                          </w:p>
                          <w:p w14:paraId="7F67C360" w14:textId="77777777" w:rsidR="00131B3F" w:rsidRDefault="00131B3F" w:rsidP="00131B3F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hyperlink r:id="rId10" w:tgtFrame="_blank" w:history="1">
                              <w:r w:rsidRPr="00131B3F">
                                <w:rPr>
                                  <w:rStyle w:val="Hypertextovodkaz"/>
                                </w:rPr>
                                <w:t>Prováděcí nařízení Komise (EU) 2024/3120</w:t>
                              </w:r>
                            </w:hyperlink>
                            <w:r w:rsidRPr="00131B3F">
                              <w:rPr>
                                <w:rStyle w:val="Hypertextovodkaz"/>
                              </w:rPr>
                              <w:t xml:space="preserve"> </w:t>
                            </w:r>
                            <w:r>
                              <w:t>výjimka pro použití F-plynů s GWP 150 a více v mechanických kryogenních mrazničkách (-150°C)</w:t>
                            </w:r>
                          </w:p>
                          <w:p w14:paraId="4ABF3090" w14:textId="77777777" w:rsidR="00131B3F" w:rsidRDefault="00131B3F" w:rsidP="00131B3F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hyperlink r:id="rId11" w:tgtFrame="_blank" w:history="1">
                              <w:r w:rsidRPr="00131B3F">
                                <w:rPr>
                                  <w:rStyle w:val="Hypertextovodkaz"/>
                                </w:rPr>
                                <w:t>Prováděcí nařízení Komise (EU) 2024/3122</w:t>
                              </w:r>
                            </w:hyperlink>
                            <w:r w:rsidRPr="00131B3F">
                              <w:rPr>
                                <w:rStyle w:val="Hypertextovodkaz"/>
                              </w:rPr>
                              <w:t xml:space="preserve"> </w:t>
                            </w:r>
                            <w:r>
                              <w:t>výjimka pro použití F-plynů s GWP 150 a více v boxech pro přepravu krve a kontaktních šokových zmrazovačích plazmy</w:t>
                            </w:r>
                          </w:p>
                          <w:p w14:paraId="5317EC4D" w14:textId="37D76277" w:rsidR="00131B3F" w:rsidRDefault="00131B3F" w:rsidP="00131B3F">
                            <w:pPr>
                              <w:pStyle w:val="p1"/>
                              <w:numPr>
                                <w:ilvl w:val="0"/>
                                <w:numId w:val="9"/>
                              </w:numPr>
                              <w:spacing w:after="120"/>
                              <w:jc w:val="both"/>
                            </w:pPr>
                            <w:hyperlink r:id="rId12" w:tgtFrame="_blank" w:history="1">
                              <w:r w:rsidRPr="00131B3F">
                                <w:rPr>
                                  <w:rStyle w:val="Hypertextovodkaz"/>
                                  <w:rFonts w:asciiTheme="minorHAnsi" w:hAnsiTheme="minorHAnsi" w:cstheme="minorBidi"/>
                                  <w:kern w:val="2"/>
                                  <w:sz w:val="22"/>
                                  <w:szCs w:val="22"/>
                                  <w:lang w:eastAsia="en-US"/>
                                  <w14:ligatures w14:val="standardContextual"/>
                                </w:rPr>
                                <w:t>Prováděcí nařízení Komise (EU) 2025/33</w:t>
                              </w:r>
                            </w:hyperlink>
                            <w:r w:rsidRPr="00131B3F">
                              <w:rPr>
                                <w:rStyle w:val="Hypertextovodkaz"/>
                                <w:rFonts w:asciiTheme="minorHAnsi" w:hAnsiTheme="minorHAnsi" w:cstheme="minorBidi"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 </w:t>
                            </w:r>
                            <w:r w:rsidRPr="003978D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výjimka pro použití F-plynů s GWP 150 a více v některých zařízení pro zpracování či uchování potravin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A03FB" id="Obdélník: se zakulacenými rohy 1" o:spid="_x0000_s1026" style="position:absolute;left:0;text-align:left;margin-left:-1.85pt;margin-top:4.15pt;width:477.75pt;height:16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vcHVgIAAP0EAAAOAAAAZHJzL2Uyb0RvYy54bWysVE1v2zAMvQ/YfxB0X20HaboFdYogRYcB&#10;RVu0HXpWZCkxJosapcTOfv0o2XG7LqdhF5kU+filR19edY1he4W+Blvy4iznTFkJVW03Jf/+fPPp&#10;M2c+CFsJA1aV/KA8v1p8/HDZurmawBZMpZBREOvnrSv5NgQ3zzIvt6oR/gycsmTUgI0IpOImq1C0&#10;FL0x2STPZ1kLWDkEqbyn2+veyBcpvtZKhnutvQrMlJxqC+nEdK7jmS0uxXyDwm1rOZQh/qGKRtSW&#10;ko6hrkUQbIf1X6GaWiJ40OFMQpOB1rVUqQfqpsjfdfO0FU6lXmg43o1j8v8vrLzbP7kHpDG0zs89&#10;ibGLTmMTv1Qf69KwDuOwVBeYpMtZPruYTs45k2SbFPl5TgrFyV7hDn34qqBhUSg5ws5Wj/QkaVJi&#10;f+tD73/0I/BrFUkKB6NiIcY+Ks3qivJOEjoRRK0Msr2gpxVSKhtmQ/7kHWG6NmYEFqeAJhQDaPCN&#10;MJWIMwLzU8A/M46IlBVsGMFNbQFPBah+jJl7/2P3fc+x/dCtu+Fl1lAdHpAh9Az2Tt7UNNRb4cOD&#10;QKIskZvWMNzToQ20JYdB4mwL+OvUffQnJpGVs5ZWoOT+506g4sx8s8SxL8V0GncmKdPziwkp+Nay&#10;fmuxu2YF9BQFLbyTSYz+wRxFjdC80LYuY1YyCSspd8llwKOyCv1q0r5LtVwmN9oTJ8KtfXIyBo8D&#10;jnx57l4EuoFZgUh5B8d1EfN33Op9I9LCchdA14l4ccT9XIfR044l/g7/g7jEb/Xk9frXWvwGAAD/&#10;/wMAUEsDBBQABgAIAAAAIQAMooK93gAAAAgBAAAPAAAAZHJzL2Rvd25yZXYueG1sTI/NbsIwEITv&#10;lfoO1lbqpQIHIkJIs0GoPw9Qfg7cTLxNotrrKDaQ9unrnspxNKOZb8r1aI240OA7xwizaQKCuHa6&#10;4wZhv3uf5CB8UKyVcUwI3+RhXd3flarQ7sofdNmGRsQS9oVCaEPoCyl93ZJVfup64uh9usGqEOXQ&#10;SD2oayy3Rs6TJJNWdRwXWtXTS0v11/ZsEdxio55+wvywfDtqQ72ps+w1R3x8GDfPIAKN4T8Mf/gR&#10;HarIdHJn1l4YhEm6jEmEPAUR7dViFp+cENJ0lYOsSnl7oPoFAAD//wMAUEsBAi0AFAAGAAgAAAAh&#10;ALaDOJL+AAAA4QEAABMAAAAAAAAAAAAAAAAAAAAAAFtDb250ZW50X1R5cGVzXS54bWxQSwECLQAU&#10;AAYACAAAACEAOP0h/9YAAACUAQAACwAAAAAAAAAAAAAAAAAvAQAAX3JlbHMvLnJlbHNQSwECLQAU&#10;AAYACAAAACEAeA73B1YCAAD9BAAADgAAAAAAAAAAAAAAAAAuAgAAZHJzL2Uyb0RvYy54bWxQSwEC&#10;LQAUAAYACAAAACEADKKCvd4AAAAIAQAADwAAAAAAAAAAAAAAAACwBAAAZHJzL2Rvd25yZXYueG1s&#10;UEsFBgAAAAAEAAQA8wAAALsFAAAAAA==&#10;" fillcolor="white [3201]" strokecolor="#4ea72e [3209]" strokeweight="1pt">
                <v:stroke joinstyle="miter"/>
                <v:textbox>
                  <w:txbxContent>
                    <w:p w14:paraId="0DF4B245" w14:textId="77777777" w:rsidR="00131B3F" w:rsidRDefault="00131B3F" w:rsidP="00131B3F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jc w:val="both"/>
                      </w:pPr>
                      <w:r w:rsidRPr="00131B3F">
                        <w:rPr>
                          <w:rStyle w:val="Hypertextovodkaz"/>
                        </w:rPr>
                        <w:fldChar w:fldCharType="begin"/>
                      </w:r>
                      <w:r w:rsidRPr="00131B3F">
                        <w:rPr>
                          <w:rStyle w:val="Hypertextovodkaz"/>
                        </w:rPr>
                        <w:instrText>HYPERLINK "https://eur-lex.europa.eu/legal-content/CS/TXT/PDF/?uri=OJ:L_202402729" \t "_blank" \o "odkaz se otevírá v novém okně"</w:instrText>
                      </w:r>
                      <w:r w:rsidRPr="00131B3F">
                        <w:rPr>
                          <w:rStyle w:val="Hypertextovodkaz"/>
                        </w:rPr>
                      </w:r>
                      <w:r w:rsidRPr="00131B3F">
                        <w:rPr>
                          <w:rStyle w:val="Hypertextovodkaz"/>
                        </w:rPr>
                        <w:fldChar w:fldCharType="separate"/>
                      </w:r>
                      <w:r w:rsidRPr="00131B3F">
                        <w:rPr>
                          <w:rStyle w:val="Hypertextovodkaz"/>
                        </w:rPr>
                        <w:t>Prováděcí nařízení Komise (EU) 2024/2729</w:t>
                      </w:r>
                      <w:r w:rsidRPr="00131B3F">
                        <w:rPr>
                          <w:rStyle w:val="Hypertextovodkaz"/>
                        </w:rPr>
                        <w:fldChar w:fldCharType="end"/>
                      </w:r>
                      <w:r w:rsidRPr="00131B3F">
                        <w:rPr>
                          <w:rStyle w:val="Hypertextovodkaz"/>
                        </w:rPr>
                        <w:t xml:space="preserve"> </w:t>
                      </w:r>
                      <w:r>
                        <w:t>výjimka pro použití F-plynů v některých zařízeních pro simulaci životního prostředí, laboratorních zařízeních pro sprejové sušení nebo mrazové sušení a v laboratorních odstředivkách</w:t>
                      </w:r>
                    </w:p>
                    <w:p w14:paraId="7F67C360" w14:textId="77777777" w:rsidR="00131B3F" w:rsidRDefault="00131B3F" w:rsidP="00131B3F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jc w:val="both"/>
                      </w:pPr>
                      <w:hyperlink r:id="rId13" w:tgtFrame="_blank" w:history="1">
                        <w:r w:rsidRPr="00131B3F">
                          <w:rPr>
                            <w:rStyle w:val="Hypertextovodkaz"/>
                          </w:rPr>
                          <w:t>Prováděcí nařízení Komise (EU) 2024/3120</w:t>
                        </w:r>
                      </w:hyperlink>
                      <w:r w:rsidRPr="00131B3F">
                        <w:rPr>
                          <w:rStyle w:val="Hypertextovodkaz"/>
                        </w:rPr>
                        <w:t xml:space="preserve"> </w:t>
                      </w:r>
                      <w:r>
                        <w:t>výjimka pro použití F-plynů s GWP 150 a více v mechanických kryogenních mrazničkách (-</w:t>
                      </w:r>
                      <w:proofErr w:type="gramStart"/>
                      <w:r>
                        <w:t>150°C</w:t>
                      </w:r>
                      <w:proofErr w:type="gramEnd"/>
                      <w:r>
                        <w:t>)</w:t>
                      </w:r>
                    </w:p>
                    <w:p w14:paraId="4ABF3090" w14:textId="77777777" w:rsidR="00131B3F" w:rsidRDefault="00131B3F" w:rsidP="00131B3F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jc w:val="both"/>
                      </w:pPr>
                      <w:hyperlink r:id="rId14" w:tgtFrame="_blank" w:history="1">
                        <w:r w:rsidRPr="00131B3F">
                          <w:rPr>
                            <w:rStyle w:val="Hypertextovodkaz"/>
                          </w:rPr>
                          <w:t>Prováděcí nařízení Komise (EU) 2024/3122</w:t>
                        </w:r>
                      </w:hyperlink>
                      <w:r w:rsidRPr="00131B3F">
                        <w:rPr>
                          <w:rStyle w:val="Hypertextovodkaz"/>
                        </w:rPr>
                        <w:t xml:space="preserve"> </w:t>
                      </w:r>
                      <w:r>
                        <w:t>výjimka pro použití F-plynů s GWP 150 a více v boxech pro přepravu krve a kontaktních šokových zmrazovačích plazmy</w:t>
                      </w:r>
                    </w:p>
                    <w:p w14:paraId="5317EC4D" w14:textId="37D76277" w:rsidR="00131B3F" w:rsidRDefault="00131B3F" w:rsidP="00131B3F">
                      <w:pPr>
                        <w:pStyle w:val="p1"/>
                        <w:numPr>
                          <w:ilvl w:val="0"/>
                          <w:numId w:val="9"/>
                        </w:numPr>
                        <w:spacing w:after="120"/>
                        <w:jc w:val="both"/>
                      </w:pPr>
                      <w:hyperlink r:id="rId15" w:tgtFrame="_blank" w:history="1">
                        <w:r w:rsidRPr="00131B3F">
                          <w:rPr>
                            <w:rStyle w:val="Hypertextovodkaz"/>
                            <w:rFonts w:asciiTheme="minorHAnsi" w:hAnsiTheme="minorHAnsi" w:cstheme="minorBidi"/>
                            <w:kern w:val="2"/>
                            <w:sz w:val="22"/>
                            <w:szCs w:val="22"/>
                            <w:lang w:eastAsia="en-US"/>
                            <w14:ligatures w14:val="standardContextual"/>
                          </w:rPr>
                          <w:t>Prováděcí nařízení Komise (EU) 2025/33</w:t>
                        </w:r>
                      </w:hyperlink>
                      <w:r w:rsidRPr="00131B3F">
                        <w:rPr>
                          <w:rStyle w:val="Hypertextovodkaz"/>
                          <w:rFonts w:asciiTheme="minorHAnsi" w:hAnsiTheme="minorHAnsi" w:cstheme="minorBidi"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 </w:t>
                      </w:r>
                      <w:r w:rsidRPr="003978D1">
                        <w:rPr>
                          <w:rFonts w:asciiTheme="minorHAnsi" w:hAnsiTheme="minorHAnsi"/>
                          <w:sz w:val="22"/>
                          <w:szCs w:val="22"/>
                        </w:rPr>
                        <w:t>výjimka pro použití F-plynů s GWP 150 a více v některých zařízení pro zpracování či uchování potravin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19DE1A" w14:textId="38B34291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119DAE2B" w14:textId="7777777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5C10D9DC" w14:textId="7777777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6B38567F" w14:textId="7777777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26223ABD" w14:textId="7777777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0E6327CD" w14:textId="7777777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0404FF63" w14:textId="7777777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20C3DDD5" w14:textId="7777777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53972DE6" w14:textId="77777777" w:rsidR="00131B3F" w:rsidRDefault="00131B3F" w:rsidP="00131B3F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088393E6" w14:textId="3CB1719B" w:rsidR="003978D1" w:rsidRPr="00150DEC" w:rsidRDefault="003978D1" w:rsidP="003978D1">
      <w:pPr>
        <w:pStyle w:val="p1"/>
        <w:numPr>
          <w:ilvl w:val="0"/>
          <w:numId w:val="4"/>
        </w:numPr>
        <w:spacing w:after="120"/>
        <w:jc w:val="both"/>
        <w:rPr>
          <w:rStyle w:val="Hypertextovodkaz"/>
          <w:rFonts w:asciiTheme="minorHAnsi" w:hAnsiTheme="minorHAnsi"/>
          <w:color w:val="auto"/>
          <w:sz w:val="22"/>
          <w:szCs w:val="22"/>
          <w:u w:val="none"/>
        </w:rPr>
      </w:pPr>
      <w:r w:rsidRPr="003978D1">
        <w:rPr>
          <w:rFonts w:asciiTheme="minorHAnsi" w:hAnsiTheme="minorHAnsi"/>
          <w:b/>
          <w:bCs/>
          <w:color w:val="auto"/>
          <w:sz w:val="22"/>
          <w:szCs w:val="22"/>
        </w:rPr>
        <w:t>Regenerace</w:t>
      </w:r>
      <w:r w:rsidRPr="003978D1">
        <w:rPr>
          <w:rFonts w:asciiTheme="minorHAnsi" w:hAnsiTheme="minorHAnsi"/>
          <w:color w:val="auto"/>
          <w:sz w:val="22"/>
          <w:szCs w:val="22"/>
        </w:rPr>
        <w:t xml:space="preserve"> – za předpokladu splnění podmínky povinného označení v souladu s čl. 12 odst. 7 a samozřejmě také všech ostatních náležitostí souvisejících s označováním, tedy čl. 12 a </w:t>
      </w:r>
      <w:hyperlink r:id="rId16" w:history="1">
        <w:r w:rsidRPr="00131B3F">
          <w:rPr>
            <w:rStyle w:val="Hypertextovodkaz"/>
            <w:rFonts w:ascii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prováděcím nařízení Komise (EU) 2024/2174</w:t>
        </w:r>
      </w:hyperlink>
      <w:r w:rsidR="00D27DD0" w:rsidRPr="00131B3F">
        <w:rPr>
          <w:rStyle w:val="Hypertextovodkaz"/>
          <w:rFonts w:ascii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  <w:r w:rsidR="00150DEC">
        <w:rPr>
          <w:rStyle w:val="Hypertextovodkaz"/>
          <w:rFonts w:cstheme="minorBidi"/>
          <w:color w:val="auto"/>
          <w:kern w:val="2"/>
          <w:u w:val="none"/>
          <w:lang w:eastAsia="en-US"/>
          <w14:ligatures w14:val="standardContextual"/>
        </w:rPr>
        <w:t xml:space="preserve"> </w:t>
      </w:r>
      <w:r w:rsidR="00150DEC" w:rsidRPr="00150DEC">
        <w:rPr>
          <w:rStyle w:val="Hypertextovodkaz"/>
          <w:rFonts w:asciiTheme="minorHAnsi" w:hAnsiTheme="minorHAnsi" w:cstheme="minorBidi"/>
          <w:color w:val="auto"/>
          <w:kern w:val="2"/>
          <w:sz w:val="22"/>
          <w:szCs w:val="22"/>
          <w:highlight w:val="yellow"/>
          <w:u w:val="none"/>
          <w:lang w:eastAsia="en-US"/>
          <w14:ligatures w14:val="standardContextual"/>
        </w:rPr>
        <w:t>Více k regeneraci je uvedeno v následující části</w:t>
      </w:r>
      <w:r w:rsidR="00150DEC">
        <w:rPr>
          <w:rStyle w:val="Hypertextovodkaz"/>
          <w:rFonts w:asciiTheme="minorHAnsi" w:hAnsiTheme="minorHAnsi" w:cstheme="minorBidi"/>
          <w:color w:val="auto"/>
          <w:kern w:val="2"/>
          <w:sz w:val="22"/>
          <w:szCs w:val="22"/>
          <w:u w:val="none"/>
          <w:lang w:eastAsia="en-US"/>
          <w14:ligatures w14:val="standardContextual"/>
        </w:rPr>
        <w:t>.</w:t>
      </w:r>
    </w:p>
    <w:p w14:paraId="49999854" w14:textId="481CB34C" w:rsidR="00150DEC" w:rsidRPr="003978D1" w:rsidRDefault="00150DEC" w:rsidP="003978D1">
      <w:pPr>
        <w:pStyle w:val="p1"/>
        <w:numPr>
          <w:ilvl w:val="0"/>
          <w:numId w:val="4"/>
        </w:numPr>
        <w:spacing w:after="120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color w:val="auto"/>
          <w:sz w:val="22"/>
          <w:szCs w:val="22"/>
        </w:rPr>
        <w:t>Recyklace</w:t>
      </w:r>
      <w:r>
        <w:rPr>
          <w:rFonts w:asciiTheme="minorHAnsi" w:hAnsiTheme="minorHAnsi"/>
          <w:color w:val="auto"/>
          <w:sz w:val="22"/>
          <w:szCs w:val="22"/>
        </w:rPr>
        <w:t xml:space="preserve"> – za předpokladu, že jsou tyto F-plyny použity ve stejném typu zařízení, jako ze kterého byly znovuzískány. Použít je smí ten podnik, který je v rámci údržby či servisu znovuzískal, nebo podnik, pro který byly v rámci servisu či údržby znovuzískány (velmi pravděpodobně v tomto případě půjde o provozovatele nebo vlastníka zařízení). </w:t>
      </w:r>
      <w:r w:rsidRPr="00150DEC">
        <w:rPr>
          <w:rFonts w:asciiTheme="minorHAnsi" w:hAnsiTheme="minorHAnsi"/>
          <w:color w:val="auto"/>
          <w:sz w:val="22"/>
          <w:szCs w:val="22"/>
          <w:highlight w:val="yellow"/>
        </w:rPr>
        <w:t>Více k recyklaci F-plynů je uvedeno v následující části.</w:t>
      </w:r>
    </w:p>
    <w:p w14:paraId="724CE7C3" w14:textId="77777777" w:rsidR="00594ADA" w:rsidRDefault="00594ADA" w:rsidP="00426232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3E698ADB" w14:textId="10175443" w:rsidR="00426232" w:rsidRDefault="00426232" w:rsidP="00426232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1E9C098C" w14:textId="77777777" w:rsidR="00484678" w:rsidRPr="00426232" w:rsidRDefault="00484678" w:rsidP="00426232">
      <w:pPr>
        <w:pStyle w:val="p1"/>
        <w:spacing w:after="120"/>
        <w:jc w:val="both"/>
        <w:rPr>
          <w:rFonts w:ascii="Aptos" w:hAnsi="Aptos"/>
          <w:color w:val="auto"/>
          <w:sz w:val="22"/>
          <w:szCs w:val="22"/>
        </w:rPr>
      </w:pPr>
    </w:p>
    <w:p w14:paraId="1C379113" w14:textId="77777777" w:rsidR="00131B3F" w:rsidRPr="004C0C55" w:rsidRDefault="00131B3F" w:rsidP="00131B3F">
      <w:pPr>
        <w:pStyle w:val="p1"/>
        <w:numPr>
          <w:ilvl w:val="0"/>
          <w:numId w:val="1"/>
        </w:numPr>
        <w:spacing w:after="120"/>
        <w:ind w:left="714" w:hanging="357"/>
        <w:rPr>
          <w:rFonts w:ascii="Aptos" w:hAnsi="Aptos"/>
          <w:b/>
          <w:bCs/>
          <w:color w:val="auto"/>
          <w:sz w:val="22"/>
          <w:szCs w:val="22"/>
        </w:rPr>
      </w:pPr>
      <w:r w:rsidRPr="004C0C55">
        <w:rPr>
          <w:rFonts w:ascii="Calibri" w:eastAsia="Times New Roman" w:hAnsi="Calibri" w:cs="Calibri"/>
          <w:b/>
          <w:bCs/>
          <w:color w:val="auto"/>
          <w:sz w:val="22"/>
          <w:szCs w:val="22"/>
        </w:rPr>
        <w:lastRenderedPageBreak/>
        <w:t>Regenerace HFC chladiv</w:t>
      </w:r>
    </w:p>
    <w:p w14:paraId="1AC5358F" w14:textId="77777777" w:rsidR="00131B3F" w:rsidRDefault="00131B3F" w:rsidP="00131B3F">
      <w:pPr>
        <w:pStyle w:val="p1"/>
        <w:ind w:left="360"/>
        <w:rPr>
          <w:rFonts w:ascii="Aptos" w:hAnsi="Aptos"/>
          <w:color w:val="000000" w:themeColor="text1"/>
          <w:sz w:val="22"/>
          <w:szCs w:val="22"/>
        </w:rPr>
      </w:pPr>
    </w:p>
    <w:p w14:paraId="1AA47682" w14:textId="77777777" w:rsidR="00131B3F" w:rsidRPr="004C0C55" w:rsidRDefault="00131B3F" w:rsidP="00131B3F">
      <w:pPr>
        <w:pStyle w:val="p1"/>
        <w:rPr>
          <w:rFonts w:ascii="Aptos" w:hAnsi="Aptos"/>
          <w:color w:val="3A7C22" w:themeColor="accent6" w:themeShade="BF"/>
          <w:sz w:val="22"/>
          <w:szCs w:val="22"/>
        </w:rPr>
      </w:pPr>
      <w:r w:rsidRPr="004C0C55">
        <w:rPr>
          <w:rFonts w:ascii="Aptos" w:hAnsi="Aptos"/>
          <w:color w:val="3A7C22" w:themeColor="accent6" w:themeShade="BF"/>
          <w:sz w:val="22"/>
          <w:szCs w:val="22"/>
        </w:rPr>
        <w:t>Čl. 3 bod 13</w:t>
      </w:r>
      <w:r>
        <w:rPr>
          <w:rFonts w:ascii="Aptos" w:hAnsi="Aptos"/>
          <w:color w:val="3A7C22" w:themeColor="accent6" w:themeShade="BF"/>
          <w:sz w:val="22"/>
          <w:szCs w:val="22"/>
        </w:rPr>
        <w:t xml:space="preserve"> písm. a)</w:t>
      </w:r>
    </w:p>
    <w:p w14:paraId="32631E9C" w14:textId="77777777" w:rsidR="00131B3F" w:rsidRDefault="00131B3F" w:rsidP="00131B3F">
      <w:pPr>
        <w:pStyle w:val="p1"/>
        <w:ind w:left="360"/>
        <w:rPr>
          <w:rFonts w:ascii="Aptos" w:hAnsi="Aptos"/>
          <w:color w:val="156082"/>
          <w:sz w:val="22"/>
          <w:szCs w:val="22"/>
        </w:rPr>
      </w:pPr>
    </w:p>
    <w:p w14:paraId="58BAE53A" w14:textId="3E6C8154" w:rsidR="00131B3F" w:rsidRDefault="00131B3F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131B3F">
        <w:rPr>
          <w:rFonts w:ascii="Aptos" w:hAnsi="Aptos"/>
          <w:i/>
          <w:iCs/>
          <w:color w:val="3A7C22" w:themeColor="accent6" w:themeShade="BF"/>
          <w:sz w:val="22"/>
          <w:szCs w:val="22"/>
        </w:rPr>
        <w:t>b) recyklované fluorované skleníkové plyny uvedené v příloze I s potenciálem globálního oteplování nejméně 2 500, které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131B3F">
        <w:rPr>
          <w:rFonts w:ascii="Aptos" w:hAnsi="Aptos"/>
          <w:i/>
          <w:iCs/>
          <w:color w:val="3A7C22" w:themeColor="accent6" w:themeShade="BF"/>
          <w:sz w:val="22"/>
          <w:szCs w:val="22"/>
        </w:rPr>
        <w:t>se používají při údržbě nebo servisu stávajících klimatizačních zařízení a tepelných čerpadel, pod podmínkou, že tyto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131B3F">
        <w:rPr>
          <w:rFonts w:ascii="Aptos" w:hAnsi="Aptos"/>
          <w:i/>
          <w:iCs/>
          <w:color w:val="3A7C22" w:themeColor="accent6" w:themeShade="BF"/>
          <w:sz w:val="22"/>
          <w:szCs w:val="22"/>
        </w:rPr>
        <w:t>plyny byly z tohoto zařízení znovuzískány; takové recyklované plyny smí použít pouze podnik, který je znovuzískal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131B3F">
        <w:rPr>
          <w:rFonts w:ascii="Aptos" w:hAnsi="Aptos"/>
          <w:i/>
          <w:iCs/>
          <w:color w:val="3A7C22" w:themeColor="accent6" w:themeShade="BF"/>
          <w:sz w:val="22"/>
          <w:szCs w:val="22"/>
        </w:rPr>
        <w:t>v rámci údržby nebo servisu, nebo podnik, pro nějž byly v rámci údržby nebo servisu znovuzískány.</w:t>
      </w:r>
    </w:p>
    <w:p w14:paraId="38411745" w14:textId="77777777" w:rsidR="00131B3F" w:rsidRDefault="00131B3F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</w:p>
    <w:p w14:paraId="42403882" w14:textId="2CCD74AE" w:rsidR="00CB4F20" w:rsidRPr="00326749" w:rsidRDefault="00CB4F20" w:rsidP="00CB4F20">
      <w:pPr>
        <w:pStyle w:val="p1"/>
        <w:jc w:val="both"/>
        <w:rPr>
          <w:rFonts w:ascii="Aptos" w:hAnsi="Aptos"/>
          <w:color w:val="auto"/>
          <w:sz w:val="22"/>
          <w:szCs w:val="22"/>
        </w:rPr>
      </w:pPr>
      <w:r w:rsidRPr="00326749">
        <w:rPr>
          <w:rFonts w:ascii="Aptos" w:hAnsi="Aptos"/>
          <w:color w:val="auto"/>
          <w:sz w:val="22"/>
          <w:szCs w:val="22"/>
        </w:rPr>
        <w:t>Termín</w:t>
      </w:r>
      <w:r>
        <w:rPr>
          <w:rFonts w:ascii="Aptos" w:hAnsi="Aptos"/>
          <w:color w:val="auto"/>
          <w:sz w:val="22"/>
          <w:szCs w:val="22"/>
        </w:rPr>
        <w:t xml:space="preserve"> 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„</w:t>
      </w:r>
      <w:r w:rsidRPr="00D0753A">
        <w:rPr>
          <w:rFonts w:ascii="Aptos" w:hAnsi="Aptos"/>
          <w:i/>
          <w:iCs/>
          <w:color w:val="3A7C22" w:themeColor="accent6" w:themeShade="BF"/>
          <w:sz w:val="22"/>
          <w:szCs w:val="22"/>
          <w:u w:val="single"/>
        </w:rPr>
        <w:t>regenerace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“ </w:t>
      </w:r>
      <w:r w:rsidRPr="00326749">
        <w:rPr>
          <w:rFonts w:ascii="Aptos" w:hAnsi="Aptos"/>
          <w:color w:val="auto"/>
          <w:sz w:val="22"/>
          <w:szCs w:val="22"/>
        </w:rPr>
        <w:t>je v nařízení o F-plynech definován v čl. 3 bod 1</w:t>
      </w:r>
      <w:r>
        <w:rPr>
          <w:rFonts w:ascii="Aptos" w:hAnsi="Aptos"/>
          <w:color w:val="auto"/>
          <w:sz w:val="22"/>
          <w:szCs w:val="22"/>
        </w:rPr>
        <w:t>3</w:t>
      </w:r>
      <w:r w:rsidRPr="00326749">
        <w:rPr>
          <w:rFonts w:ascii="Aptos" w:hAnsi="Aptos"/>
          <w:color w:val="auto"/>
          <w:sz w:val="22"/>
          <w:szCs w:val="22"/>
        </w:rPr>
        <w:t xml:space="preserve"> </w:t>
      </w:r>
      <w:r>
        <w:rPr>
          <w:rFonts w:ascii="Aptos" w:hAnsi="Aptos"/>
          <w:color w:val="auto"/>
          <w:sz w:val="22"/>
          <w:szCs w:val="22"/>
        </w:rPr>
        <w:t>jako</w:t>
      </w:r>
      <w:r w:rsidRPr="00326749">
        <w:rPr>
          <w:rFonts w:ascii="Aptos" w:hAnsi="Aptos"/>
          <w:color w:val="auto"/>
          <w:sz w:val="22"/>
          <w:szCs w:val="22"/>
        </w:rPr>
        <w:t xml:space="preserve">: </w:t>
      </w:r>
    </w:p>
    <w:p w14:paraId="470FBFDC" w14:textId="77777777" w:rsidR="00CB4F20" w:rsidRDefault="00CB4F20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</w:p>
    <w:p w14:paraId="1F9A2828" w14:textId="7D11166F" w:rsidR="00131B3F" w:rsidRPr="004C0C55" w:rsidRDefault="00D0753A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„</w:t>
      </w:r>
      <w:r w:rsidR="00131B3F"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přepracování znovuzískaných fluorovaných skleníkových plynů tak, aby s ohledem na jejich zamýšlené použití měly vlastnosti rovnocenné vlastnostem nově vyrobené látky, a to ve schválených regeneračních zařízeních, která mají k dispozici vhodné vybavení a postupy umožňující regeneraci těchto plynů a která mohou posoudit a potvrdit úroveň požadované kvality.“</w:t>
      </w:r>
    </w:p>
    <w:p w14:paraId="78034611" w14:textId="77777777" w:rsidR="00131B3F" w:rsidRPr="004178EB" w:rsidRDefault="00131B3F" w:rsidP="00131B3F">
      <w:pPr>
        <w:pStyle w:val="p1"/>
        <w:rPr>
          <w:rFonts w:ascii="Aptos" w:hAnsi="Aptos"/>
          <w:color w:val="156082"/>
          <w:sz w:val="22"/>
          <w:szCs w:val="22"/>
        </w:rPr>
      </w:pPr>
    </w:p>
    <w:p w14:paraId="30A3FB94" w14:textId="5B613AFD" w:rsidR="00131B3F" w:rsidRPr="004C0C55" w:rsidRDefault="00131B3F" w:rsidP="00131B3F">
      <w:pPr>
        <w:pStyle w:val="p1"/>
        <w:jc w:val="both"/>
        <w:rPr>
          <w:rFonts w:ascii="Aptos" w:hAnsi="Aptos"/>
          <w:color w:val="auto"/>
          <w:sz w:val="22"/>
          <w:szCs w:val="22"/>
        </w:rPr>
      </w:pPr>
      <w:r w:rsidRPr="004C0C55">
        <w:rPr>
          <w:rFonts w:ascii="Aptos" w:hAnsi="Aptos"/>
          <w:color w:val="auto"/>
          <w:sz w:val="22"/>
          <w:szCs w:val="22"/>
        </w:rPr>
        <w:t xml:space="preserve">Jako regenerované může chladivo či jiný F-plyn označit pouze ten podnik, který regeneraci provedl, přičemž </w:t>
      </w:r>
      <w:r w:rsidR="00CB4F20">
        <w:rPr>
          <w:rFonts w:ascii="Aptos" w:hAnsi="Aptos"/>
          <w:color w:val="auto"/>
          <w:sz w:val="22"/>
          <w:szCs w:val="22"/>
        </w:rPr>
        <w:t>podstatný je</w:t>
      </w:r>
      <w:r w:rsidRPr="004C0C55">
        <w:rPr>
          <w:rFonts w:ascii="Aptos" w:hAnsi="Aptos"/>
          <w:color w:val="auto"/>
          <w:sz w:val="22"/>
          <w:szCs w:val="22"/>
        </w:rPr>
        <w:t xml:space="preserve"> výsledný stav látky na konci procesu. Podnik provádějící regeneraci musí být schopný zjistit nebo zajistit, jaký je výsledek procesu, kterým F-plyn prošel. Na výstupu procesu regenerace musí být F-plyn, jehož vlastnosti odpovídají vlastnostem nově vyrobené látky. </w:t>
      </w:r>
    </w:p>
    <w:p w14:paraId="1DF72AEB" w14:textId="77777777" w:rsidR="00131B3F" w:rsidRPr="004C0C55" w:rsidRDefault="00131B3F" w:rsidP="00131B3F">
      <w:pPr>
        <w:pStyle w:val="p1"/>
        <w:jc w:val="both"/>
        <w:rPr>
          <w:rFonts w:ascii="Aptos" w:hAnsi="Aptos"/>
          <w:color w:val="auto"/>
          <w:sz w:val="22"/>
          <w:szCs w:val="22"/>
        </w:rPr>
      </w:pPr>
    </w:p>
    <w:p w14:paraId="2E363E28" w14:textId="22CEBDFD" w:rsidR="00131B3F" w:rsidRPr="004C0C55" w:rsidRDefault="00131B3F" w:rsidP="00131B3F">
      <w:pPr>
        <w:pStyle w:val="p1"/>
        <w:jc w:val="both"/>
        <w:rPr>
          <w:rFonts w:ascii="Aptos" w:hAnsi="Aptos"/>
          <w:color w:val="auto"/>
          <w:sz w:val="22"/>
          <w:szCs w:val="22"/>
        </w:rPr>
      </w:pPr>
      <w:r w:rsidRPr="004C0C55">
        <w:rPr>
          <w:rFonts w:ascii="Aptos" w:hAnsi="Aptos"/>
          <w:color w:val="auto"/>
          <w:sz w:val="22"/>
          <w:szCs w:val="22"/>
        </w:rPr>
        <w:t xml:space="preserve">S poslední novelou </w:t>
      </w:r>
      <w:hyperlink r:id="rId17" w:history="1">
        <w:r w:rsidRPr="00484678">
          <w:rPr>
            <w:rStyle w:val="Hypertextovodkaz"/>
            <w:rFonts w:ascii="Aptos" w:hAnsi="Aptos"/>
            <w:sz w:val="22"/>
            <w:szCs w:val="22"/>
          </w:rPr>
          <w:t>zákona č. 73/2012 Sb.</w:t>
        </w:r>
      </w:hyperlink>
      <w:r w:rsidRPr="004C0C55">
        <w:rPr>
          <w:rFonts w:ascii="Aptos" w:hAnsi="Aptos"/>
          <w:color w:val="auto"/>
          <w:sz w:val="22"/>
          <w:szCs w:val="22"/>
        </w:rPr>
        <w:t xml:space="preserve"> bylo v §10a odst. 1 stanovena povinnost, že regeneraci F-plynů smí vykonávat jen osoba, která k tomu má povolení ministerstva (MŽP) a k tomu jsou ve </w:t>
      </w:r>
      <w:hyperlink r:id="rId18" w:history="1">
        <w:r w:rsidRPr="00484678">
          <w:rPr>
            <w:rStyle w:val="Hypertextovodkaz"/>
            <w:rFonts w:ascii="Aptos" w:hAnsi="Aptos"/>
            <w:sz w:val="22"/>
            <w:szCs w:val="22"/>
          </w:rPr>
          <w:t>vyhlášce č. 243/2023 Sb.</w:t>
        </w:r>
      </w:hyperlink>
      <w:r w:rsidRPr="004C0C55">
        <w:rPr>
          <w:rFonts w:ascii="Aptos" w:hAnsi="Aptos"/>
          <w:color w:val="auto"/>
          <w:sz w:val="22"/>
          <w:szCs w:val="22"/>
        </w:rPr>
        <w:t xml:space="preserve"> v §10 a v příloze č. 5 stanoveny postupy pro regeneraci F-plynů s účinností od 1. ledna 2026. </w:t>
      </w:r>
    </w:p>
    <w:p w14:paraId="71FB54A0" w14:textId="77777777" w:rsidR="00131B3F" w:rsidRPr="004C0C55" w:rsidRDefault="00131B3F" w:rsidP="00131B3F">
      <w:pPr>
        <w:pStyle w:val="p1"/>
        <w:jc w:val="both"/>
        <w:rPr>
          <w:rFonts w:ascii="Aptos" w:hAnsi="Aptos"/>
          <w:color w:val="auto"/>
          <w:sz w:val="22"/>
          <w:szCs w:val="22"/>
        </w:rPr>
      </w:pPr>
    </w:p>
    <w:p w14:paraId="51EA84FF" w14:textId="77777777" w:rsidR="00131B3F" w:rsidRPr="004C0C55" w:rsidRDefault="00131B3F" w:rsidP="00131B3F">
      <w:pPr>
        <w:pStyle w:val="p1"/>
        <w:jc w:val="both"/>
        <w:rPr>
          <w:rFonts w:ascii="Aptos" w:hAnsi="Aptos"/>
          <w:color w:val="auto"/>
          <w:sz w:val="22"/>
          <w:szCs w:val="22"/>
        </w:rPr>
      </w:pPr>
      <w:r w:rsidRPr="004C0C55">
        <w:rPr>
          <w:rFonts w:ascii="Aptos" w:hAnsi="Aptos"/>
          <w:color w:val="auto"/>
          <w:sz w:val="22"/>
          <w:szCs w:val="22"/>
        </w:rPr>
        <w:t>Za kvalitu a parametry regenerovaného chladiva odpovídá podnik, který regeneraci provedl.</w:t>
      </w:r>
    </w:p>
    <w:p w14:paraId="2CFD02AE" w14:textId="77777777" w:rsidR="00131B3F" w:rsidRDefault="00131B3F" w:rsidP="00131B3F">
      <w:pPr>
        <w:pStyle w:val="p1"/>
        <w:jc w:val="both"/>
        <w:rPr>
          <w:rFonts w:ascii="Aptos" w:hAnsi="Aptos"/>
          <w:color w:val="156082"/>
          <w:sz w:val="22"/>
          <w:szCs w:val="22"/>
        </w:rPr>
      </w:pPr>
    </w:p>
    <w:p w14:paraId="06E5B931" w14:textId="382B765D" w:rsidR="00131B3F" w:rsidRPr="004F3995" w:rsidRDefault="004F3995" w:rsidP="004F3995">
      <w:pPr>
        <w:pStyle w:val="p1"/>
        <w:jc w:val="both"/>
        <w:rPr>
          <w:rFonts w:ascii="Aptos" w:hAnsi="Aptos"/>
          <w:color w:val="auto"/>
          <w:sz w:val="22"/>
          <w:szCs w:val="22"/>
        </w:rPr>
      </w:pPr>
      <w:r w:rsidRPr="004F3995">
        <w:rPr>
          <w:rFonts w:ascii="Aptos" w:hAnsi="Aptos"/>
          <w:color w:val="auto"/>
          <w:sz w:val="22"/>
          <w:szCs w:val="22"/>
        </w:rPr>
        <w:t xml:space="preserve">Kromě standardních požadavků na </w:t>
      </w:r>
      <w:r w:rsidRPr="004F3995">
        <w:rPr>
          <w:rFonts w:ascii="Aptos" w:hAnsi="Aptos"/>
          <w:color w:val="auto"/>
          <w:sz w:val="22"/>
          <w:szCs w:val="22"/>
          <w:u w:val="single"/>
        </w:rPr>
        <w:t xml:space="preserve">označení </w:t>
      </w:r>
      <w:r w:rsidRPr="004F3995">
        <w:rPr>
          <w:rFonts w:ascii="Aptos" w:hAnsi="Aptos"/>
          <w:color w:val="auto"/>
          <w:sz w:val="22"/>
          <w:szCs w:val="22"/>
        </w:rPr>
        <w:t>podle čl. 12 nařízení (EU) 2024/573 a prováděcího nařízení (EU) 2024/2174, musí být na nádobě s obsahem regenerovaného chladiva uveden nápis „</w:t>
      </w:r>
      <w:r w:rsidRPr="004F3995">
        <w:rPr>
          <w:rFonts w:ascii="Aptos" w:hAnsi="Aptos"/>
          <w:b/>
          <w:bCs/>
          <w:color w:val="auto"/>
          <w:sz w:val="22"/>
          <w:szCs w:val="22"/>
        </w:rPr>
        <w:t>100</w:t>
      </w:r>
      <w:r>
        <w:rPr>
          <w:rFonts w:ascii="Aptos" w:hAnsi="Aptos"/>
          <w:b/>
          <w:bCs/>
          <w:color w:val="auto"/>
          <w:sz w:val="22"/>
          <w:szCs w:val="22"/>
        </w:rPr>
        <w:t> </w:t>
      </w:r>
      <w:r w:rsidRPr="004F3995">
        <w:rPr>
          <w:rFonts w:ascii="Aptos" w:hAnsi="Aptos"/>
          <w:b/>
          <w:bCs/>
          <w:color w:val="auto"/>
          <w:sz w:val="22"/>
          <w:szCs w:val="22"/>
        </w:rPr>
        <w:t>% regenerováno</w:t>
      </w:r>
      <w:r w:rsidRPr="004F3995">
        <w:rPr>
          <w:rFonts w:ascii="Aptos" w:hAnsi="Aptos"/>
          <w:color w:val="auto"/>
          <w:sz w:val="22"/>
          <w:szCs w:val="22"/>
        </w:rPr>
        <w:t xml:space="preserve">“ (čl. 1 odst. 7 písm. b) nařízení (EU) 2024/2178). Toto platí pro všechny regenerované fluorované skleníkové plyny uvedené v přílohách I a II nařízení (EU) 2024/573 o F-plynech, které neobsahují žádné nově vyrobené látky, nebo v případě směsí, kdy přidání nově vyrobených látek za účelem úpravy složení směsi nepřesahuje 10% hmotnosti směsi. </w:t>
      </w:r>
    </w:p>
    <w:p w14:paraId="5AB10B2B" w14:textId="77777777" w:rsidR="004F3995" w:rsidRDefault="004F3995" w:rsidP="004F3995">
      <w:pPr>
        <w:pStyle w:val="p1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</w:p>
    <w:p w14:paraId="11129567" w14:textId="77777777" w:rsidR="00D0753A" w:rsidRDefault="00D0753A" w:rsidP="004F3995">
      <w:pPr>
        <w:pStyle w:val="p1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</w:p>
    <w:p w14:paraId="5C051DF9" w14:textId="0C1B1AF4" w:rsidR="004178EB" w:rsidRPr="004C0C55" w:rsidRDefault="004178EB" w:rsidP="00150DEC">
      <w:pPr>
        <w:pStyle w:val="p1"/>
        <w:numPr>
          <w:ilvl w:val="0"/>
          <w:numId w:val="1"/>
        </w:numPr>
        <w:spacing w:after="120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4C0C55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Použití znovuzískaného, recyklovaného chladiva </w:t>
      </w:r>
      <w:r w:rsidR="004C0C55" w:rsidRPr="004C0C55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>(F-plynu)</w:t>
      </w:r>
      <w:r w:rsidR="00426232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 s GWP 2500 a více</w:t>
      </w:r>
    </w:p>
    <w:p w14:paraId="3632450B" w14:textId="77777777" w:rsidR="00EC6354" w:rsidRPr="004C0C55" w:rsidRDefault="00EC6354" w:rsidP="004178EB">
      <w:pPr>
        <w:pStyle w:val="p1"/>
        <w:rPr>
          <w:rFonts w:ascii="Aptos" w:hAnsi="Aptos"/>
          <w:color w:val="3A7C22" w:themeColor="accent6" w:themeShade="BF"/>
          <w:sz w:val="22"/>
          <w:szCs w:val="22"/>
        </w:rPr>
      </w:pPr>
    </w:p>
    <w:p w14:paraId="1CE877F0" w14:textId="7443AFF6" w:rsidR="00EC6354" w:rsidRPr="004C0C55" w:rsidRDefault="00EC6354" w:rsidP="00131B3F">
      <w:pPr>
        <w:pStyle w:val="p1"/>
        <w:spacing w:after="240"/>
        <w:jc w:val="both"/>
        <w:rPr>
          <w:rFonts w:ascii="Aptos" w:hAnsi="Aptos"/>
          <w:color w:val="3A7C22" w:themeColor="accent6" w:themeShade="BF"/>
          <w:sz w:val="22"/>
          <w:szCs w:val="22"/>
        </w:rPr>
      </w:pPr>
      <w:r w:rsidRPr="004C0C55">
        <w:rPr>
          <w:rFonts w:ascii="Aptos" w:hAnsi="Aptos"/>
          <w:color w:val="3A7C22" w:themeColor="accent6" w:themeShade="BF"/>
          <w:sz w:val="22"/>
          <w:szCs w:val="22"/>
        </w:rPr>
        <w:t>Čl. 13 odst. 3 písm. b)</w:t>
      </w:r>
    </w:p>
    <w:p w14:paraId="66C941DE" w14:textId="77777777" w:rsidR="00EC6354" w:rsidRPr="004C0C55" w:rsidRDefault="00EC6354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4C0C55">
        <w:rPr>
          <w:rFonts w:ascii="Aptos" w:hAnsi="Aptos"/>
          <w:color w:val="3A7C22" w:themeColor="accent6" w:themeShade="BF"/>
          <w:sz w:val="22"/>
          <w:szCs w:val="22"/>
        </w:rPr>
        <w:t>„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recyklované fluorované skleníkové plyny uvedené v příloze I s potenciálem globálního oteplování nejméně 2 500, které se používají při údržbě nebo servisu stávajících chladicích zařízení, pod podmínkou, že byly z </w:t>
      </w:r>
      <w:r w:rsidRPr="004C0C55">
        <w:rPr>
          <w:rFonts w:ascii="Aptos" w:hAnsi="Aptos"/>
          <w:b/>
          <w:bCs/>
          <w:i/>
          <w:iCs/>
          <w:color w:val="3A7C22" w:themeColor="accent6" w:themeShade="BF"/>
          <w:sz w:val="22"/>
          <w:szCs w:val="22"/>
          <w:u w:val="single"/>
        </w:rPr>
        <w:t>tohoto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zařízení znovuzískány; </w:t>
      </w:r>
      <w:r w:rsidRPr="004C0C55">
        <w:rPr>
          <w:rFonts w:ascii="Aptos" w:hAnsi="Aptos"/>
          <w:b/>
          <w:bCs/>
          <w:i/>
          <w:iCs/>
          <w:color w:val="3A7C22" w:themeColor="accent6" w:themeShade="BF"/>
          <w:sz w:val="22"/>
          <w:szCs w:val="22"/>
          <w:u w:val="single"/>
        </w:rPr>
        <w:t xml:space="preserve">takové 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recyklované plyny smí použít pouze podnik, který je znovuzískal v rámci údržby nebo servisu, nebo podnik, pro nějž byly v rámci údržby nebo servisu znovuzískány.“</w:t>
      </w:r>
    </w:p>
    <w:p w14:paraId="1BB23D7A" w14:textId="77777777" w:rsidR="00EC6354" w:rsidRDefault="00EC6354" w:rsidP="00131B3F">
      <w:pPr>
        <w:pStyle w:val="p1"/>
        <w:jc w:val="both"/>
        <w:rPr>
          <w:rFonts w:ascii="Aptos" w:hAnsi="Aptos"/>
          <w:color w:val="156082"/>
          <w:sz w:val="22"/>
          <w:szCs w:val="22"/>
        </w:rPr>
      </w:pPr>
    </w:p>
    <w:p w14:paraId="509A9A96" w14:textId="5A086A6C" w:rsidR="00326749" w:rsidRPr="00326749" w:rsidRDefault="00326749" w:rsidP="00131B3F">
      <w:pPr>
        <w:pStyle w:val="p1"/>
        <w:jc w:val="both"/>
        <w:rPr>
          <w:rFonts w:ascii="Aptos" w:hAnsi="Aptos"/>
          <w:color w:val="auto"/>
          <w:sz w:val="22"/>
          <w:szCs w:val="22"/>
        </w:rPr>
      </w:pPr>
      <w:r w:rsidRPr="00326749">
        <w:rPr>
          <w:rFonts w:ascii="Aptos" w:hAnsi="Aptos"/>
          <w:color w:val="auto"/>
          <w:sz w:val="22"/>
          <w:szCs w:val="22"/>
        </w:rPr>
        <w:t xml:space="preserve">Termín </w:t>
      </w:r>
      <w:r w:rsidRPr="00131B3F">
        <w:rPr>
          <w:rFonts w:ascii="Aptos" w:hAnsi="Aptos"/>
          <w:i/>
          <w:iCs/>
          <w:color w:val="3A7C22" w:themeColor="accent6" w:themeShade="BF"/>
          <w:sz w:val="22"/>
          <w:szCs w:val="22"/>
          <w:u w:val="single"/>
        </w:rPr>
        <w:t>„recyklace“</w:t>
      </w:r>
      <w:r w:rsidRPr="00326749">
        <w:rPr>
          <w:rFonts w:ascii="Aptos" w:hAnsi="Aptos"/>
          <w:color w:val="auto"/>
          <w:sz w:val="22"/>
          <w:szCs w:val="22"/>
        </w:rPr>
        <w:t xml:space="preserve"> je v nařízení o F-plynech definován v čl. 3 bod 12 </w:t>
      </w:r>
      <w:r w:rsidR="00131B3F">
        <w:rPr>
          <w:rFonts w:ascii="Aptos" w:hAnsi="Aptos"/>
          <w:color w:val="auto"/>
          <w:sz w:val="22"/>
          <w:szCs w:val="22"/>
        </w:rPr>
        <w:t>jako</w:t>
      </w:r>
      <w:r w:rsidRPr="00326749">
        <w:rPr>
          <w:rFonts w:ascii="Aptos" w:hAnsi="Aptos"/>
          <w:color w:val="auto"/>
          <w:sz w:val="22"/>
          <w:szCs w:val="22"/>
        </w:rPr>
        <w:t xml:space="preserve">: </w:t>
      </w:r>
    </w:p>
    <w:p w14:paraId="38BFC857" w14:textId="3D02A8D0" w:rsidR="00326749" w:rsidRDefault="00326749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326749">
        <w:rPr>
          <w:rFonts w:ascii="Aptos" w:hAnsi="Aptos"/>
          <w:i/>
          <w:iCs/>
          <w:color w:val="3A7C22" w:themeColor="accent6" w:themeShade="BF"/>
          <w:sz w:val="22"/>
          <w:szCs w:val="22"/>
        </w:rPr>
        <w:lastRenderedPageBreak/>
        <w:t>opětovné použití znovuzískaných fluorovaných skleníkových plynů po základním přečištění, včetně filtrace a vysoušení“</w:t>
      </w:r>
    </w:p>
    <w:p w14:paraId="3ABAC449" w14:textId="77777777" w:rsidR="00326749" w:rsidRDefault="00326749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</w:p>
    <w:p w14:paraId="348ED28E" w14:textId="0C47E1CD" w:rsidR="00326749" w:rsidRDefault="00326749" w:rsidP="00131B3F">
      <w:pPr>
        <w:pStyle w:val="p1"/>
        <w:jc w:val="both"/>
        <w:rPr>
          <w:rFonts w:ascii="Aptos" w:hAnsi="Aptos"/>
          <w:color w:val="auto"/>
          <w:sz w:val="22"/>
          <w:szCs w:val="22"/>
        </w:rPr>
      </w:pPr>
      <w:r>
        <w:rPr>
          <w:rFonts w:ascii="Aptos" w:hAnsi="Aptos"/>
          <w:color w:val="auto"/>
          <w:sz w:val="22"/>
          <w:szCs w:val="22"/>
        </w:rPr>
        <w:t>Zároveň je v čl. 8 odst. 6 stanovena povinnost znovuzískané F-plyny před jejich opětovným použitím v zařízení recyklovat nebo regenerovat:</w:t>
      </w:r>
    </w:p>
    <w:p w14:paraId="7F157314" w14:textId="7B13AEB9" w:rsidR="00326749" w:rsidRPr="00326749" w:rsidRDefault="00326749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„</w:t>
      </w:r>
      <w:r w:rsidRPr="00326749">
        <w:rPr>
          <w:rFonts w:ascii="Aptos" w:hAnsi="Aptos"/>
          <w:i/>
          <w:iCs/>
          <w:color w:val="3A7C22" w:themeColor="accent6" w:themeShade="BF"/>
          <w:sz w:val="22"/>
          <w:szCs w:val="22"/>
        </w:rPr>
        <w:t>Znovuzískané fluorované skleníkové plyny uvedené v příloze I a v oddíle 1 přílohy II se nepoužijí k plnění nebo opětovnému plnění zařízení, pokud plyn nebyl recyklován nebo regenerován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.“</w:t>
      </w:r>
    </w:p>
    <w:p w14:paraId="159557A7" w14:textId="77777777" w:rsidR="00326749" w:rsidRPr="00326749" w:rsidRDefault="00326749" w:rsidP="00131B3F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</w:p>
    <w:p w14:paraId="25691817" w14:textId="452A7765" w:rsidR="004C0C55" w:rsidRPr="00CB01DC" w:rsidRDefault="004C0C55" w:rsidP="00131B3F">
      <w:pPr>
        <w:pStyle w:val="p1"/>
        <w:jc w:val="both"/>
        <w:rPr>
          <w:rFonts w:ascii="Aptos" w:hAnsi="Aptos"/>
          <w:color w:val="auto"/>
          <w:sz w:val="22"/>
          <w:szCs w:val="22"/>
        </w:rPr>
      </w:pPr>
      <w:r w:rsidRPr="00CB01DC">
        <w:rPr>
          <w:rFonts w:ascii="Aptos" w:hAnsi="Aptos"/>
          <w:color w:val="auto"/>
          <w:sz w:val="22"/>
          <w:szCs w:val="22"/>
        </w:rPr>
        <w:t xml:space="preserve">Znovuzískané F-plyny s GWP 2500 a více </w:t>
      </w:r>
      <w:r w:rsidR="00150DEC" w:rsidRPr="00CB01DC">
        <w:rPr>
          <w:rFonts w:ascii="Aptos" w:hAnsi="Aptos"/>
          <w:color w:val="auto"/>
          <w:sz w:val="22"/>
          <w:szCs w:val="22"/>
        </w:rPr>
        <w:t>lze po jejich recyklaci</w:t>
      </w:r>
      <w:r w:rsidR="00CB01DC">
        <w:rPr>
          <w:rFonts w:ascii="Aptos" w:hAnsi="Aptos"/>
          <w:color w:val="auto"/>
          <w:sz w:val="22"/>
          <w:szCs w:val="22"/>
        </w:rPr>
        <w:t>, tedy základním přečištění,</w:t>
      </w:r>
      <w:r w:rsidR="00150DEC" w:rsidRPr="00CB01DC">
        <w:rPr>
          <w:rFonts w:ascii="Aptos" w:hAnsi="Aptos"/>
          <w:color w:val="auto"/>
          <w:sz w:val="22"/>
          <w:szCs w:val="22"/>
        </w:rPr>
        <w:t xml:space="preserve"> </w:t>
      </w:r>
      <w:r w:rsidRPr="00CB01DC">
        <w:rPr>
          <w:rFonts w:ascii="Aptos" w:hAnsi="Aptos"/>
          <w:b/>
          <w:bCs/>
          <w:color w:val="auto"/>
          <w:sz w:val="22"/>
          <w:szCs w:val="22"/>
          <w:u w:val="single"/>
        </w:rPr>
        <w:t>použít v typově stejných zařízeních, z jakých byly znovuzískány</w:t>
      </w:r>
      <w:r w:rsidRPr="00CB01DC">
        <w:rPr>
          <w:rFonts w:ascii="Aptos" w:hAnsi="Aptos"/>
          <w:color w:val="auto"/>
          <w:sz w:val="22"/>
          <w:szCs w:val="22"/>
          <w:u w:val="single"/>
        </w:rPr>
        <w:t>.</w:t>
      </w:r>
      <w:r w:rsidR="00CB01DC">
        <w:rPr>
          <w:rFonts w:ascii="Aptos" w:hAnsi="Aptos"/>
          <w:color w:val="auto"/>
          <w:sz w:val="22"/>
          <w:szCs w:val="22"/>
        </w:rPr>
        <w:t xml:space="preserve"> </w:t>
      </w:r>
      <w:r w:rsidRPr="00CB01DC">
        <w:rPr>
          <w:rFonts w:ascii="Aptos" w:hAnsi="Aptos"/>
          <w:color w:val="auto"/>
          <w:sz w:val="22"/>
          <w:szCs w:val="22"/>
        </w:rPr>
        <w:t>D</w:t>
      </w:r>
      <w:r w:rsidR="00CB01DC">
        <w:rPr>
          <w:rFonts w:ascii="Aptos" w:hAnsi="Aptos"/>
          <w:color w:val="auto"/>
          <w:sz w:val="22"/>
          <w:szCs w:val="22"/>
        </w:rPr>
        <w:t>á</w:t>
      </w:r>
      <w:r w:rsidRPr="00CB01DC">
        <w:rPr>
          <w:rFonts w:ascii="Aptos" w:hAnsi="Aptos"/>
          <w:color w:val="auto"/>
          <w:sz w:val="22"/>
          <w:szCs w:val="22"/>
        </w:rPr>
        <w:t>l</w:t>
      </w:r>
      <w:r w:rsidR="00CB01DC">
        <w:rPr>
          <w:rFonts w:ascii="Aptos" w:hAnsi="Aptos"/>
          <w:color w:val="auto"/>
          <w:sz w:val="22"/>
          <w:szCs w:val="22"/>
        </w:rPr>
        <w:t>e</w:t>
      </w:r>
      <w:r w:rsidRPr="00CB01DC">
        <w:rPr>
          <w:rFonts w:ascii="Aptos" w:hAnsi="Aptos"/>
          <w:color w:val="auto"/>
          <w:sz w:val="22"/>
          <w:szCs w:val="22"/>
        </w:rPr>
        <w:t xml:space="preserve"> </w:t>
      </w:r>
      <w:r w:rsidR="00CB01DC">
        <w:rPr>
          <w:rFonts w:ascii="Aptos" w:hAnsi="Aptos"/>
          <w:color w:val="auto"/>
          <w:sz w:val="22"/>
          <w:szCs w:val="22"/>
        </w:rPr>
        <w:t xml:space="preserve">samozřejmě platí </w:t>
      </w:r>
      <w:r w:rsidRPr="00CB01DC">
        <w:rPr>
          <w:rFonts w:ascii="Aptos" w:hAnsi="Aptos"/>
          <w:color w:val="auto"/>
          <w:sz w:val="22"/>
          <w:szCs w:val="22"/>
        </w:rPr>
        <w:t xml:space="preserve">podmínky </w:t>
      </w:r>
      <w:r w:rsidR="00E73A3C">
        <w:rPr>
          <w:rFonts w:ascii="Aptos" w:hAnsi="Aptos"/>
          <w:color w:val="auto"/>
          <w:sz w:val="22"/>
          <w:szCs w:val="22"/>
        </w:rPr>
        <w:t xml:space="preserve">použití </w:t>
      </w:r>
      <w:r w:rsidRPr="00CB01DC">
        <w:rPr>
          <w:rFonts w:ascii="Aptos" w:hAnsi="Aptos"/>
          <w:color w:val="auto"/>
          <w:sz w:val="22"/>
          <w:szCs w:val="22"/>
        </w:rPr>
        <w:t>o vazbě na servisní podnik</w:t>
      </w:r>
      <w:r w:rsidR="00E73A3C">
        <w:rPr>
          <w:rFonts w:ascii="Aptos" w:hAnsi="Aptos"/>
          <w:color w:val="auto"/>
          <w:sz w:val="22"/>
          <w:szCs w:val="22"/>
        </w:rPr>
        <w:t xml:space="preserve">, který F-plyny znovuzískal a recykloval nebo </w:t>
      </w:r>
      <w:r w:rsidRPr="00CB01DC">
        <w:rPr>
          <w:rFonts w:ascii="Aptos" w:hAnsi="Aptos"/>
          <w:color w:val="auto"/>
          <w:sz w:val="22"/>
          <w:szCs w:val="22"/>
        </w:rPr>
        <w:t>podnik</w:t>
      </w:r>
      <w:r w:rsidR="00E73A3C">
        <w:rPr>
          <w:rFonts w:ascii="Aptos" w:hAnsi="Aptos"/>
          <w:color w:val="auto"/>
          <w:sz w:val="22"/>
          <w:szCs w:val="22"/>
        </w:rPr>
        <w:t>, pro který byly F-plyny znovuzískány při servisu a údržbě jeho zařízení.</w:t>
      </w:r>
      <w:r w:rsidRPr="00CB01DC">
        <w:rPr>
          <w:rFonts w:ascii="Aptos" w:hAnsi="Aptos"/>
          <w:color w:val="auto"/>
          <w:sz w:val="22"/>
          <w:szCs w:val="22"/>
        </w:rPr>
        <w:t xml:space="preserve"> </w:t>
      </w:r>
      <w:r w:rsidR="00E73A3C">
        <w:rPr>
          <w:rFonts w:ascii="Aptos" w:hAnsi="Aptos"/>
          <w:color w:val="auto"/>
          <w:sz w:val="22"/>
          <w:szCs w:val="22"/>
        </w:rPr>
        <w:t>Zpravidla jde v tomto případě o provozovatele nebo vlastníky daného zařízení.</w:t>
      </w:r>
    </w:p>
    <w:p w14:paraId="36CF0301" w14:textId="77777777" w:rsidR="004C0C55" w:rsidRDefault="004C0C55" w:rsidP="004178EB">
      <w:pPr>
        <w:pStyle w:val="p1"/>
        <w:rPr>
          <w:rFonts w:ascii="Aptos" w:hAnsi="Aptos"/>
          <w:color w:val="156082"/>
          <w:sz w:val="22"/>
          <w:szCs w:val="22"/>
        </w:rPr>
      </w:pPr>
    </w:p>
    <w:p w14:paraId="4AE7EE7F" w14:textId="7698C648" w:rsidR="004178EB" w:rsidRDefault="004F3995" w:rsidP="004178EB">
      <w:pPr>
        <w:pStyle w:val="p1"/>
        <w:rPr>
          <w:rFonts w:ascii="Aptos" w:hAnsi="Aptos"/>
          <w:color w:val="auto"/>
          <w:sz w:val="22"/>
          <w:szCs w:val="22"/>
        </w:rPr>
      </w:pPr>
      <w:r w:rsidRPr="004F3995">
        <w:rPr>
          <w:rFonts w:ascii="Aptos" w:hAnsi="Aptos"/>
          <w:color w:val="auto"/>
          <w:sz w:val="22"/>
          <w:szCs w:val="22"/>
        </w:rPr>
        <w:t xml:space="preserve">Kromě standardních požadavků na </w:t>
      </w:r>
      <w:r w:rsidRPr="004F3995">
        <w:rPr>
          <w:rFonts w:ascii="Aptos" w:hAnsi="Aptos"/>
          <w:color w:val="auto"/>
          <w:sz w:val="22"/>
          <w:szCs w:val="22"/>
          <w:u w:val="single"/>
        </w:rPr>
        <w:t xml:space="preserve">označení </w:t>
      </w:r>
      <w:r w:rsidRPr="004F3995">
        <w:rPr>
          <w:rFonts w:ascii="Aptos" w:hAnsi="Aptos"/>
          <w:color w:val="auto"/>
          <w:sz w:val="22"/>
          <w:szCs w:val="22"/>
        </w:rPr>
        <w:t>podle čl. 12 nařízení (EU) 2024/573 a prováděcího nařízení (EU) 2024/2174, musí být na nádobě s obsahem regenerovaného chladiva uveden nápis „</w:t>
      </w:r>
      <w:r w:rsidRPr="004F3995">
        <w:rPr>
          <w:rFonts w:ascii="Aptos" w:hAnsi="Aptos"/>
          <w:b/>
          <w:bCs/>
          <w:color w:val="auto"/>
          <w:sz w:val="22"/>
          <w:szCs w:val="22"/>
        </w:rPr>
        <w:t>100</w:t>
      </w:r>
      <w:r>
        <w:rPr>
          <w:rFonts w:ascii="Aptos" w:hAnsi="Aptos"/>
          <w:b/>
          <w:bCs/>
          <w:color w:val="auto"/>
          <w:sz w:val="22"/>
          <w:szCs w:val="22"/>
        </w:rPr>
        <w:t> </w:t>
      </w:r>
      <w:r w:rsidRPr="004F3995">
        <w:rPr>
          <w:rFonts w:ascii="Aptos" w:hAnsi="Aptos"/>
          <w:b/>
          <w:bCs/>
          <w:color w:val="auto"/>
          <w:sz w:val="22"/>
          <w:szCs w:val="22"/>
        </w:rPr>
        <w:t>% r</w:t>
      </w:r>
      <w:r>
        <w:rPr>
          <w:rFonts w:ascii="Aptos" w:hAnsi="Aptos"/>
          <w:b/>
          <w:bCs/>
          <w:color w:val="auto"/>
          <w:sz w:val="22"/>
          <w:szCs w:val="22"/>
        </w:rPr>
        <w:t>ecyklováno</w:t>
      </w:r>
      <w:r w:rsidRPr="004F3995">
        <w:rPr>
          <w:rFonts w:ascii="Aptos" w:hAnsi="Aptos"/>
          <w:color w:val="auto"/>
          <w:sz w:val="22"/>
          <w:szCs w:val="22"/>
        </w:rPr>
        <w:t xml:space="preserve">“ (čl. 1 odst. 7 písm. </w:t>
      </w:r>
      <w:r>
        <w:rPr>
          <w:rFonts w:ascii="Aptos" w:hAnsi="Aptos"/>
          <w:color w:val="auto"/>
          <w:sz w:val="22"/>
          <w:szCs w:val="22"/>
        </w:rPr>
        <w:t>a</w:t>
      </w:r>
      <w:r w:rsidRPr="004F3995">
        <w:rPr>
          <w:rFonts w:ascii="Aptos" w:hAnsi="Aptos"/>
          <w:color w:val="auto"/>
          <w:sz w:val="22"/>
          <w:szCs w:val="22"/>
        </w:rPr>
        <w:t>) nařízení (EU) 2024/2178).</w:t>
      </w:r>
    </w:p>
    <w:p w14:paraId="47FF4041" w14:textId="77777777" w:rsidR="00D0753A" w:rsidRDefault="00D0753A" w:rsidP="004178EB">
      <w:pPr>
        <w:pStyle w:val="p1"/>
        <w:rPr>
          <w:rFonts w:ascii="Aptos" w:hAnsi="Aptos"/>
          <w:color w:val="156082"/>
          <w:sz w:val="22"/>
          <w:szCs w:val="22"/>
        </w:rPr>
      </w:pPr>
    </w:p>
    <w:p w14:paraId="51443DBA" w14:textId="77777777" w:rsidR="004178EB" w:rsidRDefault="004178EB" w:rsidP="004178EB">
      <w:pPr>
        <w:pStyle w:val="p1"/>
        <w:ind w:left="720"/>
        <w:rPr>
          <w:rFonts w:ascii="Calibri" w:hAnsi="Calibri" w:cs="Calibri"/>
          <w:sz w:val="22"/>
          <w:szCs w:val="22"/>
        </w:rPr>
      </w:pPr>
    </w:p>
    <w:p w14:paraId="756489B8" w14:textId="1178F982" w:rsidR="004178EB" w:rsidRPr="004C0C55" w:rsidRDefault="004178EB" w:rsidP="004C0C55">
      <w:pPr>
        <w:pStyle w:val="p1"/>
        <w:numPr>
          <w:ilvl w:val="0"/>
          <w:numId w:val="1"/>
        </w:numPr>
        <w:spacing w:after="120"/>
        <w:ind w:left="714" w:hanging="357"/>
        <w:rPr>
          <w:rFonts w:ascii="Calibri" w:eastAsia="Times New Roman" w:hAnsi="Calibri" w:cs="Calibri"/>
          <w:b/>
          <w:bCs/>
          <w:color w:val="auto"/>
          <w:sz w:val="22"/>
          <w:szCs w:val="22"/>
        </w:rPr>
      </w:pPr>
      <w:r w:rsidRPr="004C0C55">
        <w:rPr>
          <w:rFonts w:ascii="Calibri" w:eastAsia="Times New Roman" w:hAnsi="Calibri" w:cs="Calibri"/>
          <w:b/>
          <w:bCs/>
          <w:color w:val="auto"/>
          <w:sz w:val="22"/>
          <w:szCs w:val="22"/>
        </w:rPr>
        <w:t xml:space="preserve">Dodávání výrobků a zařízení po termínu zákazu jejich uvádění na trh </w:t>
      </w:r>
    </w:p>
    <w:p w14:paraId="02803F91" w14:textId="5140DBE2" w:rsidR="00CD3907" w:rsidRDefault="00CD3907" w:rsidP="004C0C55">
      <w:pPr>
        <w:pStyle w:val="p1"/>
        <w:rPr>
          <w:rFonts w:ascii="Aptos" w:hAnsi="Aptos"/>
          <w:color w:val="3A7C22" w:themeColor="accent6" w:themeShade="BF"/>
          <w:sz w:val="22"/>
          <w:szCs w:val="22"/>
        </w:rPr>
      </w:pPr>
      <w:r w:rsidRPr="004C0C55">
        <w:rPr>
          <w:rFonts w:ascii="Aptos" w:hAnsi="Aptos"/>
          <w:color w:val="3A7C22" w:themeColor="accent6" w:themeShade="BF"/>
          <w:sz w:val="22"/>
          <w:szCs w:val="22"/>
        </w:rPr>
        <w:t>Čl. 11 odst. 1 poslední pododstavec</w:t>
      </w:r>
    </w:p>
    <w:p w14:paraId="0B6F57EE" w14:textId="77777777" w:rsidR="004C0C55" w:rsidRDefault="004C0C55" w:rsidP="004C0C55">
      <w:pPr>
        <w:pStyle w:val="p1"/>
        <w:rPr>
          <w:rFonts w:ascii="Aptos" w:hAnsi="Aptos"/>
          <w:color w:val="3A7C22" w:themeColor="accent6" w:themeShade="BF"/>
          <w:sz w:val="22"/>
          <w:szCs w:val="22"/>
        </w:rPr>
      </w:pPr>
    </w:p>
    <w:p w14:paraId="40D4F9BF" w14:textId="38D7975C" w:rsidR="004C0C55" w:rsidRPr="004C0C55" w:rsidRDefault="004C0C55" w:rsidP="004C0C55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„Jeden rok od příslušných dat uvedených v příloze IV jsou následné dodávky nebo poskytnutí výrobků nebo zařízení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zákonně uvedených na trh přede dnem uvedeným v prvním pododstavci jiné osobě v Unii za úplatu nebo bezplatně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povoleny pouze tehdy, pokud je prokázáno, že výrobek nebo zařízení byly uvedeny na trh v souladu s právními předpisy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před tímto datem.“</w:t>
      </w:r>
    </w:p>
    <w:p w14:paraId="7F52A1AC" w14:textId="77777777" w:rsidR="00CD3907" w:rsidRPr="004178EB" w:rsidRDefault="00CD3907" w:rsidP="00CD3907">
      <w:pPr>
        <w:pStyle w:val="p1"/>
        <w:ind w:left="360"/>
        <w:rPr>
          <w:rFonts w:ascii="Calibri" w:eastAsia="Times New Roman" w:hAnsi="Calibri" w:cs="Calibri"/>
          <w:sz w:val="22"/>
          <w:szCs w:val="22"/>
        </w:rPr>
      </w:pPr>
    </w:p>
    <w:p w14:paraId="5843C723" w14:textId="2D531589" w:rsidR="00813BA5" w:rsidRPr="004C0C55" w:rsidRDefault="00813BA5" w:rsidP="00CD3907">
      <w:pPr>
        <w:rPr>
          <w:b/>
          <w:bCs/>
        </w:rPr>
      </w:pPr>
      <w:r w:rsidRPr="004C0C55">
        <w:rPr>
          <w:rFonts w:ascii="Aptos" w:hAnsi="Aptos"/>
        </w:rPr>
        <w:t>Výrobky nebo zařízení řádně uvedené na trh před datem zákazu jejich uvádění na trh dle přílohy IV lze i po tomto datu dále prodávat, předávat atd. a to kdykoliv v budoucnu.</w:t>
      </w:r>
    </w:p>
    <w:p w14:paraId="6BA724DC" w14:textId="45416878" w:rsidR="00CD3907" w:rsidRDefault="00CD3907" w:rsidP="00CD3907">
      <w:pPr>
        <w:jc w:val="both"/>
      </w:pPr>
      <w:r w:rsidRPr="004178EB">
        <w:t xml:space="preserve">Výrazem „jeden rok od příslušných dat …“ </w:t>
      </w:r>
      <w:r w:rsidRPr="00CD3907">
        <w:t xml:space="preserve">se </w:t>
      </w:r>
      <w:r w:rsidRPr="004178EB">
        <w:t>rozum</w:t>
      </w:r>
      <w:r w:rsidRPr="00CD3907">
        <w:t>í</w:t>
      </w:r>
      <w:r w:rsidRPr="004178EB">
        <w:t xml:space="preserve"> období, které nastane po </w:t>
      </w:r>
      <w:r w:rsidRPr="00CD3907">
        <w:t xml:space="preserve">uplynutí doby </w:t>
      </w:r>
      <w:r w:rsidRPr="004178EB">
        <w:t>jedno</w:t>
      </w:r>
      <w:r w:rsidRPr="00CD3907">
        <w:t>ho</w:t>
      </w:r>
      <w:r w:rsidRPr="004178EB">
        <w:t xml:space="preserve"> ro</w:t>
      </w:r>
      <w:r w:rsidRPr="00CD3907">
        <w:t>ku</w:t>
      </w:r>
      <w:r w:rsidRPr="004178EB">
        <w:t xml:space="preserve"> od zákazu pro </w:t>
      </w:r>
      <w:r w:rsidRPr="004C0C55">
        <w:rPr>
          <w:u w:val="single"/>
        </w:rPr>
        <w:t>uvádění na trh</w:t>
      </w:r>
      <w:r>
        <w:t>*</w:t>
      </w:r>
      <w:r w:rsidRPr="004178EB">
        <w:t>.</w:t>
      </w:r>
    </w:p>
    <w:p w14:paraId="71151584" w14:textId="146E8013" w:rsidR="00766A84" w:rsidRDefault="00766A84" w:rsidP="004C0C55">
      <w:pPr>
        <w:pStyle w:val="p1"/>
        <w:rPr>
          <w:rFonts w:ascii="Aptos" w:hAnsi="Aptos"/>
          <w:color w:val="auto"/>
          <w:sz w:val="22"/>
          <w:szCs w:val="22"/>
        </w:rPr>
      </w:pPr>
      <w:r w:rsidRPr="004C0C55">
        <w:rPr>
          <w:rFonts w:ascii="Aptos" w:hAnsi="Aptos"/>
          <w:color w:val="auto"/>
          <w:sz w:val="22"/>
          <w:szCs w:val="22"/>
        </w:rPr>
        <w:t xml:space="preserve">* </w:t>
      </w:r>
      <w:r w:rsidR="000D509F"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„</w:t>
      </w:r>
      <w:r w:rsidR="000D509F" w:rsidRPr="00E50FB3">
        <w:rPr>
          <w:rFonts w:ascii="Aptos" w:hAnsi="Aptos"/>
          <w:i/>
          <w:iCs/>
          <w:color w:val="3A7C22" w:themeColor="accent6" w:themeShade="BF"/>
          <w:sz w:val="22"/>
          <w:szCs w:val="22"/>
          <w:u w:val="single"/>
        </w:rPr>
        <w:t>uváděním na trh</w:t>
      </w:r>
      <w:r w:rsidR="000D509F"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“</w:t>
      </w:r>
      <w:r w:rsidR="000D509F"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C0C55">
        <w:rPr>
          <w:rFonts w:ascii="Aptos" w:hAnsi="Aptos"/>
          <w:color w:val="auto"/>
          <w:sz w:val="22"/>
          <w:szCs w:val="22"/>
        </w:rPr>
        <w:t xml:space="preserve">je potřeba rozumět dle jeho definice v čl. 3 bod 6 nařízení o F-plynech: </w:t>
      </w:r>
    </w:p>
    <w:p w14:paraId="3FBE9E3D" w14:textId="50218275" w:rsidR="004C0C55" w:rsidRPr="004C0C55" w:rsidRDefault="004C0C55" w:rsidP="004C0C55">
      <w:pPr>
        <w:pStyle w:val="p1"/>
        <w:jc w:val="both"/>
        <w:rPr>
          <w:rFonts w:ascii="Aptos" w:hAnsi="Aptos"/>
          <w:i/>
          <w:iCs/>
          <w:color w:val="3A7C22" w:themeColor="accent6" w:themeShade="BF"/>
          <w:sz w:val="22"/>
          <w:szCs w:val="22"/>
        </w:rPr>
      </w:pP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celní propuštění do volného oběhu v Unii nebo první dodání či poskytnutí jiné osobě v Unii, za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úplatu nebo bezplatně, nebo použití vyrobených látek či použití výrobků nebo zařízení vyrobených pro vlastní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 xml:space="preserve"> </w:t>
      </w:r>
      <w:r w:rsidRPr="004C0C55">
        <w:rPr>
          <w:rFonts w:ascii="Aptos" w:hAnsi="Aptos"/>
          <w:i/>
          <w:iCs/>
          <w:color w:val="3A7C22" w:themeColor="accent6" w:themeShade="BF"/>
          <w:sz w:val="22"/>
          <w:szCs w:val="22"/>
        </w:rPr>
        <w:t>použití</w:t>
      </w:r>
      <w:r>
        <w:rPr>
          <w:rFonts w:ascii="Aptos" w:hAnsi="Aptos"/>
          <w:i/>
          <w:iCs/>
          <w:color w:val="3A7C22" w:themeColor="accent6" w:themeShade="BF"/>
          <w:sz w:val="22"/>
          <w:szCs w:val="22"/>
        </w:rPr>
        <w:t>“</w:t>
      </w:r>
    </w:p>
    <w:p w14:paraId="50E74D48" w14:textId="4EA96126" w:rsidR="00766A84" w:rsidRDefault="00766A84" w:rsidP="00766A84">
      <w:pPr>
        <w:pStyle w:val="p1"/>
        <w:rPr>
          <w:rFonts w:ascii="Aptos" w:hAnsi="Aptos"/>
          <w:color w:val="156082"/>
          <w:sz w:val="22"/>
          <w:szCs w:val="22"/>
        </w:rPr>
      </w:pPr>
    </w:p>
    <w:p w14:paraId="10892088" w14:textId="75CD9C80" w:rsidR="00766A84" w:rsidRPr="004C0C55" w:rsidRDefault="00CD3907" w:rsidP="00766A84">
      <w:pPr>
        <w:jc w:val="both"/>
        <w:rPr>
          <w:rFonts w:ascii="Aptos" w:hAnsi="Aptos"/>
        </w:rPr>
      </w:pPr>
      <w:r w:rsidRPr="004178EB">
        <w:t xml:space="preserve">Ustanovení </w:t>
      </w:r>
      <w:r w:rsidRPr="00CD3907">
        <w:t xml:space="preserve">tak </w:t>
      </w:r>
      <w:r w:rsidRPr="004178EB">
        <w:t xml:space="preserve">umožňuje </w:t>
      </w:r>
      <w:r w:rsidRPr="00CD3907">
        <w:t xml:space="preserve">bez časového omezení </w:t>
      </w:r>
      <w:r w:rsidRPr="004178EB">
        <w:t xml:space="preserve">nadále prodávat a distribuovat výrobky a zařízení </w:t>
      </w:r>
      <w:r w:rsidRPr="00CD3907">
        <w:t xml:space="preserve">s obsahem F-plynů </w:t>
      </w:r>
      <w:r w:rsidRPr="004178EB">
        <w:t>i poté, co pro tato zařízení a výrobky</w:t>
      </w:r>
      <w:r w:rsidRPr="00CD3907">
        <w:t xml:space="preserve"> začal </w:t>
      </w:r>
      <w:r w:rsidRPr="004178EB">
        <w:t>platit zákaz uvádění na trh dle přílohy IV.</w:t>
      </w:r>
      <w:r w:rsidRPr="00CD3907">
        <w:t xml:space="preserve"> Výrobek či zařízení, které byly řádně uvedeny na trh před datem zákazu stanoveným v příloze č.</w:t>
      </w:r>
      <w:r w:rsidR="004C0C55">
        <w:t xml:space="preserve"> </w:t>
      </w:r>
      <w:r w:rsidRPr="00CD3907">
        <w:t>IV, lze v průběhu prvního roku platnosti zákazu</w:t>
      </w:r>
      <w:r w:rsidR="005E11C1">
        <w:t xml:space="preserve"> dále dodávat (prodávat a distribuovat) bez nutnosti předložení dokladů o jejich uvedení na trh. V době delší než 1 rok od začátku platnosti </w:t>
      </w:r>
      <w:r w:rsidR="005E11C1" w:rsidRPr="005E11C1">
        <w:t xml:space="preserve">zákazu </w:t>
      </w:r>
      <w:r w:rsidRPr="004178EB">
        <w:t xml:space="preserve">uvádění daného výrobku či zařízení na trh musí být prokázáno, že bylo uvedeno na trh ještě </w:t>
      </w:r>
      <w:r w:rsidRPr="004C0C55">
        <w:t>před zákazem stanoveným v příloze IV</w:t>
      </w:r>
      <w:r w:rsidR="005E11C1" w:rsidRPr="004C0C55">
        <w:t xml:space="preserve"> formou doložení celního dokladu </w:t>
      </w:r>
      <w:r w:rsidR="00766A84" w:rsidRPr="004C0C55">
        <w:rPr>
          <w:rFonts w:ascii="Aptos" w:hAnsi="Aptos"/>
        </w:rPr>
        <w:t>nebo jiné dokumentace, která jasně dokládá že ten</w:t>
      </w:r>
      <w:r w:rsidR="004C0C55">
        <w:rPr>
          <w:rFonts w:ascii="Aptos" w:hAnsi="Aptos"/>
        </w:rPr>
        <w:t>,</w:t>
      </w:r>
      <w:r w:rsidR="00766A84" w:rsidRPr="004C0C55">
        <w:rPr>
          <w:rFonts w:ascii="Aptos" w:hAnsi="Aptos"/>
        </w:rPr>
        <w:t xml:space="preserve"> který výrobek či zařízení bylo </w:t>
      </w:r>
      <w:r w:rsidR="00766A84" w:rsidRPr="004C0C55">
        <w:rPr>
          <w:rFonts w:ascii="Aptos" w:hAnsi="Aptos"/>
          <w:u w:val="single"/>
        </w:rPr>
        <w:t>uvedeno na trh</w:t>
      </w:r>
      <w:r w:rsidR="00766A84" w:rsidRPr="004C0C55">
        <w:rPr>
          <w:rFonts w:ascii="Aptos" w:hAnsi="Aptos"/>
        </w:rPr>
        <w:t>* legálně před datem zákazu.</w:t>
      </w:r>
    </w:p>
    <w:p w14:paraId="3A2061D0" w14:textId="77777777" w:rsidR="00CD3907" w:rsidRPr="004C0C55" w:rsidRDefault="00CD3907" w:rsidP="00CD3907">
      <w:pPr>
        <w:rPr>
          <w:u w:val="single"/>
        </w:rPr>
      </w:pPr>
      <w:r w:rsidRPr="004C0C55">
        <w:rPr>
          <w:u w:val="single"/>
        </w:rPr>
        <w:t xml:space="preserve">Příklad: </w:t>
      </w:r>
    </w:p>
    <w:p w14:paraId="6A9C9536" w14:textId="7EBD0841" w:rsidR="00CD3907" w:rsidRPr="004178EB" w:rsidRDefault="00CD3907" w:rsidP="00CD3907">
      <w:r w:rsidRPr="004178EB">
        <w:t xml:space="preserve">1.1.2027 </w:t>
      </w:r>
      <w:r w:rsidR="006E5A1F">
        <w:t>–</w:t>
      </w:r>
      <w:r w:rsidRPr="004178EB">
        <w:t xml:space="preserve"> </w:t>
      </w:r>
      <w:r w:rsidR="006E5A1F">
        <w:t xml:space="preserve">v příloze č. IV je stanoven </w:t>
      </w:r>
      <w:r w:rsidRPr="004178EB">
        <w:t xml:space="preserve">zákaz uvádění zařízení na trh </w:t>
      </w:r>
    </w:p>
    <w:p w14:paraId="14152CD5" w14:textId="03233A7C" w:rsidR="00CD3907" w:rsidRPr="004178EB" w:rsidRDefault="00CD3907" w:rsidP="00CD3907">
      <w:r w:rsidRPr="004178EB">
        <w:lastRenderedPageBreak/>
        <w:t xml:space="preserve">1.1.2027 </w:t>
      </w:r>
      <w:r w:rsidR="006E5A1F">
        <w:t xml:space="preserve">– 31.12. 2027 </w:t>
      </w:r>
      <w:r w:rsidRPr="004178EB">
        <w:t>–</w:t>
      </w:r>
      <w:r w:rsidR="006E5A1F">
        <w:t xml:space="preserve"> výrobek či </w:t>
      </w:r>
      <w:r w:rsidRPr="004178EB">
        <w:t xml:space="preserve">zařízení </w:t>
      </w:r>
      <w:r w:rsidR="006E5A1F">
        <w:t xml:space="preserve">lze </w:t>
      </w:r>
      <w:r w:rsidRPr="004178EB">
        <w:t>dále prodávat, distribuovat</w:t>
      </w:r>
      <w:r w:rsidR="006E5A1F">
        <w:t xml:space="preserve"> bez nutnosti předložení dokladu o uvedení na trh.</w:t>
      </w:r>
    </w:p>
    <w:p w14:paraId="0B65B6A8" w14:textId="4746D341" w:rsidR="00CD3907" w:rsidRPr="004178EB" w:rsidRDefault="00CD3907" w:rsidP="00CD3907">
      <w:r w:rsidRPr="004178EB">
        <w:t xml:space="preserve">po 1.1.2028 </w:t>
      </w:r>
      <w:r w:rsidR="006E5A1F">
        <w:t>–</w:t>
      </w:r>
      <w:r w:rsidRPr="004178EB">
        <w:t xml:space="preserve"> </w:t>
      </w:r>
      <w:r w:rsidR="006E5A1F">
        <w:t xml:space="preserve">výrobek či zařízení lze </w:t>
      </w:r>
      <w:r w:rsidRPr="004178EB">
        <w:t xml:space="preserve">dále prodávat, distribuovat </w:t>
      </w:r>
      <w:r w:rsidR="006E5A1F">
        <w:t xml:space="preserve">pouze za současného </w:t>
      </w:r>
      <w:r w:rsidRPr="004178EB">
        <w:t>do</w:t>
      </w:r>
      <w:r w:rsidR="006E5A1F">
        <w:t>ložení</w:t>
      </w:r>
      <w:r w:rsidRPr="004178EB">
        <w:t xml:space="preserve"> o </w:t>
      </w:r>
      <w:r w:rsidR="006E5A1F">
        <w:t>řádném uvedení na</w:t>
      </w:r>
      <w:r w:rsidRPr="004178EB">
        <w:t xml:space="preserve"> trh před </w:t>
      </w:r>
      <w:r w:rsidR="006E5A1F">
        <w:t xml:space="preserve">datem zákazu, tedy před </w:t>
      </w:r>
      <w:r w:rsidRPr="004178EB">
        <w:t>1.1.2027</w:t>
      </w:r>
    </w:p>
    <w:p w14:paraId="23EA395B" w14:textId="77777777" w:rsidR="00CD3907" w:rsidRDefault="00CD3907" w:rsidP="004178EB">
      <w:pPr>
        <w:pStyle w:val="p1"/>
        <w:rPr>
          <w:rFonts w:ascii="Aptos" w:hAnsi="Aptos"/>
          <w:color w:val="156082"/>
          <w:sz w:val="22"/>
          <w:szCs w:val="22"/>
        </w:rPr>
      </w:pPr>
    </w:p>
    <w:p w14:paraId="6598DBF5" w14:textId="77777777" w:rsidR="006C768D" w:rsidRDefault="006C768D"/>
    <w:p w14:paraId="186550B2" w14:textId="77777777" w:rsidR="004178EB" w:rsidRDefault="004178EB"/>
    <w:sectPr w:rsidR="004178EB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23C71" w14:textId="77777777" w:rsidR="004568D4" w:rsidRDefault="004568D4" w:rsidP="004178EB">
      <w:pPr>
        <w:spacing w:after="0" w:line="240" w:lineRule="auto"/>
      </w:pPr>
      <w:r>
        <w:separator/>
      </w:r>
    </w:p>
  </w:endnote>
  <w:endnote w:type="continuationSeparator" w:id="0">
    <w:p w14:paraId="17E7CAD9" w14:textId="77777777" w:rsidR="004568D4" w:rsidRDefault="004568D4" w:rsidP="0041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8528099"/>
      <w:docPartObj>
        <w:docPartGallery w:val="Page Numbers (Bottom of Page)"/>
        <w:docPartUnique/>
      </w:docPartObj>
    </w:sdtPr>
    <w:sdtContent>
      <w:p w14:paraId="54263F1E" w14:textId="225BE1C7" w:rsidR="004C0C55" w:rsidRDefault="004C0C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E2924A" w14:textId="77777777" w:rsidR="004178EB" w:rsidRDefault="004178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2CD84" w14:textId="77777777" w:rsidR="004568D4" w:rsidRDefault="004568D4" w:rsidP="004178EB">
      <w:pPr>
        <w:spacing w:after="0" w:line="240" w:lineRule="auto"/>
      </w:pPr>
      <w:r>
        <w:separator/>
      </w:r>
    </w:p>
  </w:footnote>
  <w:footnote w:type="continuationSeparator" w:id="0">
    <w:p w14:paraId="5D66192C" w14:textId="77777777" w:rsidR="004568D4" w:rsidRDefault="004568D4" w:rsidP="004178EB">
      <w:pPr>
        <w:spacing w:after="0" w:line="240" w:lineRule="auto"/>
      </w:pPr>
      <w:r>
        <w:continuationSeparator/>
      </w:r>
    </w:p>
  </w:footnote>
  <w:footnote w:id="1">
    <w:p w14:paraId="0E91CF86" w14:textId="48B13BC1" w:rsidR="002E6AD2" w:rsidRPr="002E6AD2" w:rsidRDefault="002E6AD2" w:rsidP="002E6AD2">
      <w:pPr>
        <w:pStyle w:val="Textpoznpodarou"/>
        <w:jc w:val="both"/>
        <w:rPr>
          <w:sz w:val="18"/>
          <w:szCs w:val="18"/>
        </w:rPr>
      </w:pPr>
      <w:r w:rsidRPr="002E6AD2">
        <w:rPr>
          <w:rStyle w:val="Znakapoznpodarou"/>
          <w:sz w:val="18"/>
          <w:szCs w:val="18"/>
        </w:rPr>
        <w:footnoteRef/>
      </w:r>
      <w:r w:rsidRPr="002E6AD2">
        <w:rPr>
          <w:sz w:val="18"/>
          <w:szCs w:val="18"/>
        </w:rPr>
        <w:t xml:space="preserve"> </w:t>
      </w:r>
      <w:proofErr w:type="gramStart"/>
      <w:r w:rsidRPr="002E6AD2">
        <w:rPr>
          <w:sz w:val="18"/>
          <w:szCs w:val="18"/>
        </w:rPr>
        <w:t>GWP - potenciál</w:t>
      </w:r>
      <w:proofErr w:type="gramEnd"/>
      <w:r w:rsidRPr="002E6AD2">
        <w:rPr>
          <w:sz w:val="18"/>
          <w:szCs w:val="18"/>
        </w:rPr>
        <w:t xml:space="preserve"> skleníkového plynu zvýšit teplotu klimatu v poměru k potenciálu oxidu uhličitého (CO</w:t>
      </w:r>
      <w:r w:rsidRPr="002E6AD2">
        <w:rPr>
          <w:sz w:val="18"/>
          <w:szCs w:val="18"/>
          <w:vertAlign w:val="subscript"/>
        </w:rPr>
        <w:t>2</w:t>
      </w:r>
      <w:r w:rsidRPr="002E6AD2">
        <w:rPr>
          <w:sz w:val="18"/>
          <w:szCs w:val="18"/>
        </w:rPr>
        <w:t>), počítaný, není-li uvedeno jinak, jako stoletý potenciál globálního oteplování jednoho kilogramu skleníkového plynu v poměru k</w:t>
      </w:r>
      <w:r>
        <w:rPr>
          <w:sz w:val="18"/>
          <w:szCs w:val="18"/>
        </w:rPr>
        <w:t> </w:t>
      </w:r>
      <w:r w:rsidRPr="002E6AD2">
        <w:rPr>
          <w:sz w:val="18"/>
          <w:szCs w:val="18"/>
        </w:rPr>
        <w:t>jednomu kilogramu CO</w:t>
      </w:r>
      <w:r w:rsidRPr="002E6AD2">
        <w:rPr>
          <w:sz w:val="18"/>
          <w:szCs w:val="18"/>
          <w:vertAlign w:val="subscript"/>
        </w:rPr>
        <w:t>2</w:t>
      </w:r>
      <w:r w:rsidRPr="002E6AD2">
        <w:rPr>
          <w:sz w:val="18"/>
          <w:szCs w:val="18"/>
        </w:rPr>
        <w:t xml:space="preserve"> v souladu s přílohami I, II, III a VI nebo, v případě směsí, počítaný podle přílohy VI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ED31" w14:textId="287C1B0A" w:rsidR="004178EB" w:rsidRDefault="004178EB" w:rsidP="004178EB">
    <w:pPr>
      <w:pStyle w:val="Zhlav"/>
      <w:jc w:val="right"/>
    </w:pPr>
    <w:r w:rsidRPr="007B05F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0019ED" wp14:editId="7EEF933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89760" cy="359410"/>
          <wp:effectExtent l="0" t="0" r="0" b="2540"/>
          <wp:wrapNone/>
          <wp:docPr id="25" name="Obrázek 25" descr="C:\Users\user\ownCloud\Documents\_ESS\_Šablony dokumentů - nová ESS\MZ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00681" name="Picture 1" descr="C:\Users\user\ownCloud\Documents\_ESS\_Šablony dokumentů - nová ESS\MZP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995">
      <w:t>7</w:t>
    </w:r>
    <w:r>
      <w:t>. 4. 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36B44"/>
    <w:multiLevelType w:val="hybridMultilevel"/>
    <w:tmpl w:val="9668A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045B"/>
    <w:multiLevelType w:val="hybridMultilevel"/>
    <w:tmpl w:val="3A2034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F68AB"/>
    <w:multiLevelType w:val="hybridMultilevel"/>
    <w:tmpl w:val="0BD8C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2B0895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43A6F"/>
    <w:multiLevelType w:val="hybridMultilevel"/>
    <w:tmpl w:val="5C3850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96E52"/>
    <w:multiLevelType w:val="hybridMultilevel"/>
    <w:tmpl w:val="1EDE7BE2"/>
    <w:lvl w:ilvl="0" w:tplc="15CA39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A09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0AEA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C30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3AA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0D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07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666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82FF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81504BE"/>
    <w:multiLevelType w:val="hybridMultilevel"/>
    <w:tmpl w:val="5C38500A"/>
    <w:lvl w:ilvl="0" w:tplc="379E3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B240D"/>
    <w:multiLevelType w:val="hybridMultilevel"/>
    <w:tmpl w:val="6794300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234226">
    <w:abstractNumId w:val="2"/>
  </w:num>
  <w:num w:numId="2" w16cid:durableId="1068066535">
    <w:abstractNumId w:val="2"/>
  </w:num>
  <w:num w:numId="3" w16cid:durableId="419528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7345224">
    <w:abstractNumId w:val="5"/>
  </w:num>
  <w:num w:numId="5" w16cid:durableId="1629622252">
    <w:abstractNumId w:val="3"/>
  </w:num>
  <w:num w:numId="6" w16cid:durableId="103119943">
    <w:abstractNumId w:val="4"/>
  </w:num>
  <w:num w:numId="7" w16cid:durableId="1215309375">
    <w:abstractNumId w:val="1"/>
  </w:num>
  <w:num w:numId="8" w16cid:durableId="105738657">
    <w:abstractNumId w:val="6"/>
  </w:num>
  <w:num w:numId="9" w16cid:durableId="15846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EB"/>
    <w:rsid w:val="00026CE1"/>
    <w:rsid w:val="000D509F"/>
    <w:rsid w:val="00131B3F"/>
    <w:rsid w:val="00150DEC"/>
    <w:rsid w:val="00185845"/>
    <w:rsid w:val="0019505B"/>
    <w:rsid w:val="001D5AEA"/>
    <w:rsid w:val="00214659"/>
    <w:rsid w:val="002E6AD2"/>
    <w:rsid w:val="00326749"/>
    <w:rsid w:val="00335A91"/>
    <w:rsid w:val="003935B0"/>
    <w:rsid w:val="003978D1"/>
    <w:rsid w:val="003C0AC9"/>
    <w:rsid w:val="003D46D5"/>
    <w:rsid w:val="003F7417"/>
    <w:rsid w:val="004178EB"/>
    <w:rsid w:val="00426232"/>
    <w:rsid w:val="004528AB"/>
    <w:rsid w:val="004568D4"/>
    <w:rsid w:val="00484678"/>
    <w:rsid w:val="004C0C55"/>
    <w:rsid w:val="004C33BD"/>
    <w:rsid w:val="004F3995"/>
    <w:rsid w:val="005042F8"/>
    <w:rsid w:val="005136CF"/>
    <w:rsid w:val="00563B1A"/>
    <w:rsid w:val="00594ADA"/>
    <w:rsid w:val="005E11C1"/>
    <w:rsid w:val="006273B3"/>
    <w:rsid w:val="006C768D"/>
    <w:rsid w:val="006E5A1F"/>
    <w:rsid w:val="00766A84"/>
    <w:rsid w:val="00813BA5"/>
    <w:rsid w:val="0081478B"/>
    <w:rsid w:val="00851481"/>
    <w:rsid w:val="008C1CA4"/>
    <w:rsid w:val="009221BD"/>
    <w:rsid w:val="009A0EA7"/>
    <w:rsid w:val="00B20E84"/>
    <w:rsid w:val="00BC0EEA"/>
    <w:rsid w:val="00C67265"/>
    <w:rsid w:val="00CB01DC"/>
    <w:rsid w:val="00CB4F20"/>
    <w:rsid w:val="00CD3907"/>
    <w:rsid w:val="00D0753A"/>
    <w:rsid w:val="00D27DD0"/>
    <w:rsid w:val="00D9263D"/>
    <w:rsid w:val="00E50FB3"/>
    <w:rsid w:val="00E70C17"/>
    <w:rsid w:val="00E73A3C"/>
    <w:rsid w:val="00EA76BB"/>
    <w:rsid w:val="00EC6354"/>
    <w:rsid w:val="00F17575"/>
    <w:rsid w:val="00F22FCB"/>
    <w:rsid w:val="00F67322"/>
    <w:rsid w:val="00F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1A270"/>
  <w15:chartTrackingRefBased/>
  <w15:docId w15:val="{646836E8-B64B-47B9-A4F6-32FA2181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8EB"/>
  </w:style>
  <w:style w:type="paragraph" w:styleId="Nadpis1">
    <w:name w:val="heading 1"/>
    <w:basedOn w:val="Normln"/>
    <w:next w:val="Normln"/>
    <w:link w:val="Nadpis1Char"/>
    <w:uiPriority w:val="9"/>
    <w:qFormat/>
    <w:rsid w:val="00417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17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7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7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7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7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7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7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417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7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8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78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78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78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78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78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7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7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7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7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78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78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78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7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78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78E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1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78EB"/>
  </w:style>
  <w:style w:type="paragraph" w:styleId="Zpat">
    <w:name w:val="footer"/>
    <w:basedOn w:val="Normln"/>
    <w:link w:val="ZpatChar"/>
    <w:uiPriority w:val="99"/>
    <w:unhideWhenUsed/>
    <w:rsid w:val="0041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78EB"/>
  </w:style>
  <w:style w:type="paragraph" w:customStyle="1" w:styleId="Zpatdopisu">
    <w:name w:val="Zápatí dopisu"/>
    <w:basedOn w:val="Normln"/>
    <w:link w:val="ZpatdopisuChar"/>
    <w:uiPriority w:val="3"/>
    <w:qFormat/>
    <w:rsid w:val="004178EB"/>
    <w:pPr>
      <w:spacing w:after="0" w:line="276" w:lineRule="auto"/>
      <w:jc w:val="both"/>
    </w:pPr>
    <w:rPr>
      <w:rFonts w:ascii="Verdana" w:eastAsia="Calibri" w:hAnsi="Verdana" w:cs="Arial"/>
      <w:kern w:val="0"/>
      <w:sz w:val="12"/>
      <w:szCs w:val="12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178EB"/>
    <w:rPr>
      <w:color w:val="467886" w:themeColor="hyperlink"/>
      <w:u w:val="single"/>
    </w:rPr>
  </w:style>
  <w:style w:type="character" w:customStyle="1" w:styleId="ZpatdopisuChar">
    <w:name w:val="Zápatí dopisu Char"/>
    <w:basedOn w:val="Standardnpsmoodstavce"/>
    <w:link w:val="Zpatdopisu"/>
    <w:uiPriority w:val="3"/>
    <w:rsid w:val="004178EB"/>
    <w:rPr>
      <w:rFonts w:ascii="Verdana" w:eastAsia="Calibri" w:hAnsi="Verdana" w:cs="Arial"/>
      <w:kern w:val="0"/>
      <w:sz w:val="12"/>
      <w:szCs w:val="12"/>
      <w14:ligatures w14:val="none"/>
    </w:rPr>
  </w:style>
  <w:style w:type="paragraph" w:customStyle="1" w:styleId="p1">
    <w:name w:val="p1"/>
    <w:basedOn w:val="Normln"/>
    <w:rsid w:val="004178EB"/>
    <w:pPr>
      <w:spacing w:after="0" w:line="240" w:lineRule="auto"/>
    </w:pPr>
    <w:rPr>
      <w:rFonts w:ascii="Helvetica" w:hAnsi="Helvetica" w:cs="Aptos"/>
      <w:color w:val="000000"/>
      <w:kern w:val="0"/>
      <w:sz w:val="15"/>
      <w:szCs w:val="15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FB55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55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55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5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5F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1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styleId="Barevntabulkaseznamu6zvraznn6">
    <w:name w:val="List Table 6 Colorful Accent 6"/>
    <w:basedOn w:val="Normlntabulka"/>
    <w:uiPriority w:val="51"/>
    <w:rsid w:val="005136C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6A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6A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E6AD2"/>
    <w:rPr>
      <w:vertAlign w:val="superscript"/>
    </w:rPr>
  </w:style>
  <w:style w:type="table" w:styleId="Barevntabulkaseznamu7zvraznn6">
    <w:name w:val="List Table 7 Colorful Accent 6"/>
    <w:basedOn w:val="Normlntabulka"/>
    <w:uiPriority w:val="52"/>
    <w:rsid w:val="006273B3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131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1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8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4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926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CS/TXT/PDF/?uri=OJ:L_202400573" TargetMode="External"/><Relationship Id="rId13" Type="http://schemas.openxmlformats.org/officeDocument/2006/relationships/hyperlink" Target="https://eur-lex.europa.eu/legal-content/CS/TXT/?uri=OJ%3AL_202403120" TargetMode="External"/><Relationship Id="rId18" Type="http://schemas.openxmlformats.org/officeDocument/2006/relationships/hyperlink" Target="https://www.e-sbirka.cz/sb/2023/243/2024-12-01?f=243%2F2023&amp;zalozka=tex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CS/TXT/PDF/?uri=OJ:L_202500033" TargetMode="External"/><Relationship Id="rId17" Type="http://schemas.openxmlformats.org/officeDocument/2006/relationships/hyperlink" Target="https://www.e-sbirka.cz/sb/2012/73/2023-03-23?f=73%2F2012&amp;zalozka=te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CS/TXT/PDF/?uri=OJ:L_20240217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CS/TXT/?uri=OJ%3AL_2024031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CS/TXT/PDF/?uri=OJ:L_202500033" TargetMode="External"/><Relationship Id="rId10" Type="http://schemas.openxmlformats.org/officeDocument/2006/relationships/hyperlink" Target="https://eur-lex.europa.eu/legal-content/CS/TXT/?uri=OJ%3AL_2024031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CS/TXT/PDF/?uri=OJ:L_202402729" TargetMode="External"/><Relationship Id="rId14" Type="http://schemas.openxmlformats.org/officeDocument/2006/relationships/hyperlink" Target="https://eur-lex.europa.eu/legal-content/CS/TXT/?uri=OJ%3AL_20240312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F928B-6E1F-4094-AE1F-B4F3C0D6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1872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Mašíčková</dc:creator>
  <cp:keywords/>
  <dc:description/>
  <cp:lastModifiedBy>Štěpán Stojanov</cp:lastModifiedBy>
  <cp:revision>2</cp:revision>
  <dcterms:created xsi:type="dcterms:W3CDTF">2025-04-08T13:53:00Z</dcterms:created>
  <dcterms:modified xsi:type="dcterms:W3CDTF">2025-04-08T13:53:00Z</dcterms:modified>
</cp:coreProperties>
</file>